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92" w:rsidRDefault="00932492" w:rsidP="00932492">
      <w:pPr>
        <w:jc w:val="center"/>
        <w:rPr>
          <w:b/>
          <w:i/>
          <w:sz w:val="28"/>
          <w:szCs w:val="28"/>
          <w:lang w:val="ru-RU"/>
        </w:rPr>
      </w:pPr>
    </w:p>
    <w:p w:rsidR="00932492" w:rsidRPr="00771EE9" w:rsidRDefault="00932492" w:rsidP="00932492">
      <w:pPr>
        <w:jc w:val="center"/>
        <w:rPr>
          <w:b/>
          <w:i/>
          <w:sz w:val="28"/>
          <w:szCs w:val="28"/>
        </w:rPr>
      </w:pPr>
      <w:r w:rsidRPr="00771EE9">
        <w:rPr>
          <w:b/>
          <w:i/>
          <w:sz w:val="28"/>
          <w:szCs w:val="28"/>
        </w:rPr>
        <w:t>Інститут соціально-економічної трансформації</w:t>
      </w:r>
    </w:p>
    <w:p w:rsidR="00932492" w:rsidRDefault="00932492" w:rsidP="00932492">
      <w:pPr>
        <w:ind w:firstLine="709"/>
        <w:jc w:val="center"/>
        <w:rPr>
          <w:b/>
          <w:sz w:val="28"/>
          <w:szCs w:val="28"/>
        </w:rPr>
      </w:pPr>
    </w:p>
    <w:p w:rsidR="00932492" w:rsidRPr="00F16C6D" w:rsidRDefault="00932492" w:rsidP="00932492">
      <w:pPr>
        <w:tabs>
          <w:tab w:val="left" w:pos="4962"/>
        </w:tabs>
        <w:ind w:firstLine="709"/>
        <w:jc w:val="center"/>
        <w:rPr>
          <w:b/>
          <w:sz w:val="44"/>
          <w:szCs w:val="44"/>
        </w:rPr>
      </w:pPr>
    </w:p>
    <w:p w:rsidR="00932492" w:rsidRPr="00771EE9" w:rsidRDefault="00932492" w:rsidP="00932492">
      <w:pPr>
        <w:pStyle w:val="1"/>
        <w:tabs>
          <w:tab w:val="left" w:pos="4962"/>
        </w:tabs>
        <w:jc w:val="center"/>
        <w:rPr>
          <w:sz w:val="44"/>
          <w:szCs w:val="44"/>
          <w:lang w:val="uk-UA"/>
        </w:rPr>
      </w:pPr>
      <w:r>
        <w:rPr>
          <w:sz w:val="44"/>
          <w:szCs w:val="44"/>
          <w:lang w:val="uk-UA"/>
        </w:rPr>
        <w:t>Щодо застосування касового методу сплати податку на додану вартість в Україні</w:t>
      </w:r>
    </w:p>
    <w:p w:rsidR="00932492" w:rsidRDefault="00932492" w:rsidP="00932492">
      <w:pPr>
        <w:jc w:val="center"/>
        <w:rPr>
          <w:lang w:eastAsia="ru-RU"/>
        </w:rPr>
      </w:pPr>
    </w:p>
    <w:p w:rsidR="00932492" w:rsidRPr="00BE5CF6" w:rsidRDefault="00932492" w:rsidP="00932492">
      <w:pPr>
        <w:jc w:val="center"/>
        <w:rPr>
          <w:b/>
          <w:sz w:val="28"/>
          <w:szCs w:val="28"/>
          <w:lang w:eastAsia="ru-RU"/>
        </w:rPr>
      </w:pPr>
      <w:r w:rsidRPr="00BE5CF6">
        <w:rPr>
          <w:b/>
          <w:sz w:val="28"/>
          <w:szCs w:val="28"/>
          <w:lang w:eastAsia="ru-RU"/>
        </w:rPr>
        <w:t>(</w:t>
      </w:r>
      <w:r>
        <w:rPr>
          <w:b/>
          <w:sz w:val="28"/>
          <w:szCs w:val="28"/>
          <w:lang w:eastAsia="ru-RU"/>
        </w:rPr>
        <w:t>Аналітична довідка</w:t>
      </w:r>
      <w:r w:rsidRPr="00BE5CF6">
        <w:rPr>
          <w:b/>
          <w:sz w:val="28"/>
          <w:szCs w:val="28"/>
          <w:lang w:eastAsia="ru-RU"/>
        </w:rPr>
        <w:t>)</w:t>
      </w:r>
    </w:p>
    <w:p w:rsidR="00932492" w:rsidRPr="00663798" w:rsidRDefault="00932492" w:rsidP="00932492">
      <w:pPr>
        <w:ind w:firstLine="709"/>
        <w:jc w:val="center"/>
        <w:rPr>
          <w:b/>
          <w:sz w:val="28"/>
          <w:szCs w:val="28"/>
        </w:rPr>
      </w:pPr>
    </w:p>
    <w:p w:rsidR="00932492" w:rsidRDefault="00932492" w:rsidP="00932492">
      <w:pPr>
        <w:jc w:val="center"/>
        <w:rPr>
          <w:sz w:val="28"/>
          <w:szCs w:val="28"/>
        </w:rPr>
      </w:pPr>
      <w:r w:rsidRPr="00F361F5">
        <w:rPr>
          <w:sz w:val="28"/>
          <w:szCs w:val="28"/>
        </w:rPr>
        <w:t>Автори</w:t>
      </w:r>
    </w:p>
    <w:p w:rsidR="00932492" w:rsidRDefault="00932492" w:rsidP="00932492">
      <w:pPr>
        <w:jc w:val="center"/>
        <w:rPr>
          <w:sz w:val="28"/>
          <w:szCs w:val="28"/>
        </w:rPr>
      </w:pPr>
      <w:r w:rsidRPr="00F361F5">
        <w:rPr>
          <w:sz w:val="28"/>
          <w:szCs w:val="28"/>
        </w:rPr>
        <w:t>Вячеслав Черкашин</w:t>
      </w:r>
    </w:p>
    <w:p w:rsidR="00932492" w:rsidRPr="00771EE9" w:rsidRDefault="00932492" w:rsidP="00932492">
      <w:pPr>
        <w:jc w:val="center"/>
        <w:rPr>
          <w:sz w:val="28"/>
          <w:szCs w:val="28"/>
        </w:rPr>
      </w:pPr>
      <w:r>
        <w:rPr>
          <w:sz w:val="28"/>
          <w:szCs w:val="28"/>
        </w:rPr>
        <w:t>Ілля Несходовський</w:t>
      </w:r>
    </w:p>
    <w:p w:rsidR="00932492" w:rsidRDefault="00932492" w:rsidP="00932492">
      <w:pPr>
        <w:tabs>
          <w:tab w:val="left" w:pos="1701"/>
        </w:tabs>
        <w:rPr>
          <w:sz w:val="28"/>
          <w:szCs w:val="28"/>
        </w:rPr>
      </w:pPr>
    </w:p>
    <w:p w:rsidR="00932492" w:rsidRDefault="00932492" w:rsidP="00932492">
      <w:pPr>
        <w:tabs>
          <w:tab w:val="left" w:pos="1701"/>
        </w:tabs>
        <w:rPr>
          <w:sz w:val="28"/>
          <w:szCs w:val="28"/>
        </w:rPr>
      </w:pPr>
    </w:p>
    <w:p w:rsidR="00932492" w:rsidRPr="00771EE9" w:rsidRDefault="00932492" w:rsidP="00932492">
      <w:pPr>
        <w:tabs>
          <w:tab w:val="left" w:pos="1701"/>
        </w:tabs>
        <w:jc w:val="center"/>
        <w:rPr>
          <w:sz w:val="28"/>
          <w:szCs w:val="28"/>
        </w:rPr>
      </w:pPr>
      <w:r>
        <w:rPr>
          <w:sz w:val="28"/>
          <w:szCs w:val="28"/>
        </w:rPr>
        <w:t>Київ</w:t>
      </w:r>
      <w:r w:rsidRPr="00D83CF1">
        <w:rPr>
          <w:sz w:val="28"/>
          <w:szCs w:val="28"/>
        </w:rPr>
        <w:t xml:space="preserve"> 201</w:t>
      </w:r>
      <w:r>
        <w:rPr>
          <w:sz w:val="28"/>
          <w:szCs w:val="28"/>
        </w:rPr>
        <w:t>7</w:t>
      </w:r>
    </w:p>
    <w:p w:rsidR="00932492" w:rsidRDefault="00932492">
      <w:pPr>
        <w:rPr>
          <w:rFonts w:ascii="Times New Roman" w:hAnsi="Times New Roman" w:cs="Times New Roman"/>
          <w:b/>
          <w:sz w:val="32"/>
          <w:szCs w:val="24"/>
        </w:rPr>
      </w:pPr>
    </w:p>
    <w:p w:rsidR="00932492" w:rsidRDefault="00932492" w:rsidP="007B5C83">
      <w:pPr>
        <w:spacing w:after="0"/>
        <w:jc w:val="center"/>
        <w:rPr>
          <w:rFonts w:ascii="Times New Roman" w:hAnsi="Times New Roman" w:cs="Times New Roman"/>
          <w:b/>
          <w:sz w:val="32"/>
          <w:szCs w:val="24"/>
        </w:rPr>
      </w:pPr>
    </w:p>
    <w:p w:rsidR="00932492" w:rsidRDefault="00932492" w:rsidP="007B5C83">
      <w:pPr>
        <w:spacing w:after="0"/>
        <w:jc w:val="center"/>
        <w:rPr>
          <w:rFonts w:ascii="Times New Roman" w:hAnsi="Times New Roman" w:cs="Times New Roman"/>
          <w:b/>
          <w:sz w:val="32"/>
          <w:szCs w:val="24"/>
        </w:rPr>
      </w:pPr>
    </w:p>
    <w:p w:rsidR="007B5C83" w:rsidRPr="00DC6F20" w:rsidRDefault="007B5C83" w:rsidP="007B5C83">
      <w:pPr>
        <w:spacing w:after="0"/>
        <w:jc w:val="center"/>
        <w:rPr>
          <w:rFonts w:ascii="Times New Roman" w:hAnsi="Times New Roman" w:cs="Times New Roman"/>
          <w:b/>
          <w:sz w:val="32"/>
          <w:szCs w:val="24"/>
        </w:rPr>
      </w:pPr>
      <w:r w:rsidRPr="00DC6F20">
        <w:rPr>
          <w:rFonts w:ascii="Times New Roman" w:hAnsi="Times New Roman" w:cs="Times New Roman"/>
          <w:b/>
          <w:sz w:val="32"/>
          <w:szCs w:val="24"/>
        </w:rPr>
        <w:t>Запровадження касового методу оподаткування в Україні</w:t>
      </w:r>
    </w:p>
    <w:p w:rsidR="00894E61" w:rsidRPr="00DC6F20" w:rsidRDefault="00894E61" w:rsidP="002E777E">
      <w:pPr>
        <w:spacing w:after="0"/>
        <w:rPr>
          <w:rFonts w:ascii="Times New Roman" w:hAnsi="Times New Roman" w:cs="Times New Roman"/>
          <w:b/>
          <w:sz w:val="28"/>
          <w:szCs w:val="24"/>
        </w:rPr>
      </w:pPr>
    </w:p>
    <w:p w:rsidR="00DC6F20" w:rsidRDefault="00894E61" w:rsidP="00DC6F20">
      <w:pPr>
        <w:pStyle w:val="a3"/>
        <w:numPr>
          <w:ilvl w:val="0"/>
          <w:numId w:val="2"/>
        </w:numPr>
        <w:spacing w:after="0"/>
        <w:rPr>
          <w:rFonts w:ascii="Times New Roman" w:hAnsi="Times New Roman" w:cs="Times New Roman"/>
          <w:b/>
          <w:sz w:val="28"/>
          <w:szCs w:val="24"/>
          <w:u w:val="single"/>
        </w:rPr>
      </w:pPr>
      <w:r w:rsidRPr="00DC6F20">
        <w:rPr>
          <w:rFonts w:ascii="Times New Roman" w:hAnsi="Times New Roman" w:cs="Times New Roman"/>
          <w:b/>
          <w:sz w:val="28"/>
          <w:szCs w:val="24"/>
          <w:u w:val="single"/>
        </w:rPr>
        <w:t>Поточна ситуація</w:t>
      </w:r>
    </w:p>
    <w:p w:rsidR="00DC6F20" w:rsidRPr="00DC6F20" w:rsidRDefault="00DC6F20" w:rsidP="00DC6F20">
      <w:pPr>
        <w:spacing w:after="0"/>
        <w:rPr>
          <w:rFonts w:ascii="Times New Roman" w:hAnsi="Times New Roman" w:cs="Times New Roman"/>
          <w:b/>
          <w:sz w:val="28"/>
          <w:szCs w:val="24"/>
          <w:u w:val="single"/>
        </w:rPr>
      </w:pPr>
    </w:p>
    <w:p w:rsidR="000B577F" w:rsidRPr="00DC6F20" w:rsidRDefault="007A251E" w:rsidP="00913B64">
      <w:pPr>
        <w:spacing w:after="0"/>
        <w:jc w:val="both"/>
        <w:rPr>
          <w:rFonts w:ascii="Times New Roman" w:hAnsi="Times New Roman" w:cs="Times New Roman"/>
          <w:sz w:val="28"/>
          <w:szCs w:val="24"/>
        </w:rPr>
      </w:pPr>
      <w:r w:rsidRPr="00DC6F20">
        <w:rPr>
          <w:rFonts w:ascii="Times New Roman" w:hAnsi="Times New Roman" w:cs="Times New Roman"/>
          <w:sz w:val="28"/>
          <w:szCs w:val="24"/>
        </w:rPr>
        <w:t>З</w:t>
      </w:r>
      <w:r w:rsidR="0073557B" w:rsidRPr="00DC6F20">
        <w:rPr>
          <w:rFonts w:ascii="Times New Roman" w:hAnsi="Times New Roman" w:cs="Times New Roman"/>
          <w:sz w:val="28"/>
          <w:szCs w:val="24"/>
        </w:rPr>
        <w:t>астосування касового методу сплати податку на додану вартість в У</w:t>
      </w:r>
      <w:r w:rsidR="00303DDE" w:rsidRPr="00DC6F20">
        <w:rPr>
          <w:rFonts w:ascii="Times New Roman" w:hAnsi="Times New Roman" w:cs="Times New Roman"/>
          <w:sz w:val="28"/>
          <w:szCs w:val="24"/>
        </w:rPr>
        <w:t xml:space="preserve">країні має таке ж коріння як </w:t>
      </w:r>
      <w:r w:rsidRPr="00DC6F20">
        <w:rPr>
          <w:rFonts w:ascii="Times New Roman" w:hAnsi="Times New Roman" w:cs="Times New Roman"/>
          <w:sz w:val="28"/>
          <w:szCs w:val="24"/>
        </w:rPr>
        <w:t>і сам податок</w:t>
      </w:r>
      <w:r w:rsidR="00303DDE" w:rsidRPr="00DC6F20">
        <w:rPr>
          <w:rFonts w:ascii="Times New Roman" w:hAnsi="Times New Roman" w:cs="Times New Roman"/>
          <w:sz w:val="28"/>
          <w:szCs w:val="24"/>
        </w:rPr>
        <w:t xml:space="preserve">, який </w:t>
      </w:r>
      <w:r w:rsidR="0073557B" w:rsidRPr="00DC6F20">
        <w:rPr>
          <w:rFonts w:ascii="Times New Roman" w:hAnsi="Times New Roman" w:cs="Times New Roman"/>
          <w:sz w:val="28"/>
          <w:szCs w:val="24"/>
        </w:rPr>
        <w:t>був введений в дію 1 січня 1992 року Законом «Про податок на добавлену вар</w:t>
      </w:r>
      <w:r w:rsidR="00303DDE" w:rsidRPr="00DC6F20">
        <w:rPr>
          <w:rFonts w:ascii="Times New Roman" w:hAnsi="Times New Roman" w:cs="Times New Roman"/>
          <w:sz w:val="28"/>
          <w:szCs w:val="24"/>
        </w:rPr>
        <w:t>тість» від 20.12.1991 року, що</w:t>
      </w:r>
      <w:r w:rsidR="0073557B" w:rsidRPr="00DC6F20">
        <w:rPr>
          <w:rFonts w:ascii="Times New Roman" w:hAnsi="Times New Roman" w:cs="Times New Roman"/>
          <w:sz w:val="28"/>
          <w:szCs w:val="24"/>
        </w:rPr>
        <w:t xml:space="preserve"> діяв лише до червня 1993 року</w:t>
      </w:r>
      <w:r w:rsidRPr="00DC6F20">
        <w:rPr>
          <w:rFonts w:ascii="Times New Roman" w:hAnsi="Times New Roman" w:cs="Times New Roman"/>
          <w:sz w:val="28"/>
          <w:szCs w:val="24"/>
        </w:rPr>
        <w:t xml:space="preserve"> і був замінений Д</w:t>
      </w:r>
      <w:r w:rsidR="0073557B" w:rsidRPr="00DC6F20">
        <w:rPr>
          <w:rFonts w:ascii="Times New Roman" w:hAnsi="Times New Roman" w:cs="Times New Roman"/>
          <w:sz w:val="28"/>
          <w:szCs w:val="24"/>
        </w:rPr>
        <w:t>екретом КМУ «Про податок на добавлену вартість» від 26 грудня 1992 року № 14-92</w:t>
      </w:r>
      <w:r w:rsidR="0073557B" w:rsidRPr="00DC6F20">
        <w:rPr>
          <w:rStyle w:val="a7"/>
          <w:rFonts w:ascii="Times New Roman" w:hAnsi="Times New Roman" w:cs="Times New Roman"/>
          <w:sz w:val="28"/>
          <w:szCs w:val="24"/>
        </w:rPr>
        <w:footnoteReference w:id="1"/>
      </w:r>
      <w:r w:rsidR="0073557B" w:rsidRPr="00DC6F20">
        <w:rPr>
          <w:rFonts w:ascii="Times New Roman" w:hAnsi="Times New Roman" w:cs="Times New Roman"/>
          <w:sz w:val="28"/>
          <w:szCs w:val="24"/>
        </w:rPr>
        <w:t xml:space="preserve">, який у свою чергу втратив чинність з 01.07.1997 року. Протягом дії </w:t>
      </w:r>
      <w:r w:rsidR="00303DDE" w:rsidRPr="00DC6F20">
        <w:rPr>
          <w:rFonts w:ascii="Times New Roman" w:hAnsi="Times New Roman" w:cs="Times New Roman"/>
          <w:sz w:val="28"/>
          <w:szCs w:val="24"/>
        </w:rPr>
        <w:t xml:space="preserve">відповідного </w:t>
      </w:r>
      <w:r w:rsidR="0073557B" w:rsidRPr="00DC6F20">
        <w:rPr>
          <w:rFonts w:ascii="Times New Roman" w:hAnsi="Times New Roman" w:cs="Times New Roman"/>
          <w:sz w:val="28"/>
          <w:szCs w:val="24"/>
        </w:rPr>
        <w:t>Декрету</w:t>
      </w:r>
      <w:r w:rsidR="00303DDE" w:rsidRPr="00DC6F20">
        <w:rPr>
          <w:rFonts w:ascii="Times New Roman" w:hAnsi="Times New Roman" w:cs="Times New Roman"/>
          <w:sz w:val="28"/>
          <w:szCs w:val="24"/>
        </w:rPr>
        <w:t xml:space="preserve"> </w:t>
      </w:r>
      <w:r w:rsidR="001F07A3" w:rsidRPr="00DC6F20">
        <w:rPr>
          <w:rFonts w:ascii="Times New Roman" w:hAnsi="Times New Roman" w:cs="Times New Roman"/>
          <w:sz w:val="28"/>
          <w:szCs w:val="24"/>
        </w:rPr>
        <w:t xml:space="preserve">Уряду </w:t>
      </w:r>
      <w:r w:rsidR="00827DBB" w:rsidRPr="00DC6F20">
        <w:rPr>
          <w:rFonts w:ascii="Times New Roman" w:hAnsi="Times New Roman" w:cs="Times New Roman"/>
          <w:sz w:val="28"/>
          <w:szCs w:val="24"/>
        </w:rPr>
        <w:t>(</w:t>
      </w:r>
      <w:r w:rsidR="00827DBB" w:rsidRPr="00DC6F20">
        <w:rPr>
          <w:rFonts w:ascii="Times New Roman" w:hAnsi="Times New Roman" w:cs="Times New Roman"/>
          <w:sz w:val="28"/>
          <w:szCs w:val="24"/>
          <w:u w:val="single"/>
        </w:rPr>
        <w:t xml:space="preserve">4,5 роки) </w:t>
      </w:r>
      <w:r w:rsidR="00303DDE" w:rsidRPr="00DC6F20">
        <w:rPr>
          <w:rFonts w:ascii="Times New Roman" w:hAnsi="Times New Roman" w:cs="Times New Roman"/>
          <w:sz w:val="28"/>
          <w:szCs w:val="24"/>
          <w:u w:val="single"/>
        </w:rPr>
        <w:t>економіка країни</w:t>
      </w:r>
      <w:r w:rsidR="00827DBB" w:rsidRPr="00DC6F20">
        <w:rPr>
          <w:rFonts w:ascii="Times New Roman" w:hAnsi="Times New Roman" w:cs="Times New Roman"/>
          <w:sz w:val="28"/>
          <w:szCs w:val="24"/>
          <w:u w:val="single"/>
        </w:rPr>
        <w:t xml:space="preserve"> функціонувала в умовах</w:t>
      </w:r>
      <w:r w:rsidR="00303DDE" w:rsidRPr="00DC6F20">
        <w:rPr>
          <w:rFonts w:ascii="Times New Roman" w:hAnsi="Times New Roman" w:cs="Times New Roman"/>
          <w:sz w:val="28"/>
          <w:szCs w:val="24"/>
          <w:u w:val="single"/>
        </w:rPr>
        <w:t xml:space="preserve"> касо</w:t>
      </w:r>
      <w:r w:rsidR="00827DBB" w:rsidRPr="00DC6F20">
        <w:rPr>
          <w:rFonts w:ascii="Times New Roman" w:hAnsi="Times New Roman" w:cs="Times New Roman"/>
          <w:sz w:val="28"/>
          <w:szCs w:val="24"/>
          <w:u w:val="single"/>
        </w:rPr>
        <w:t>вого методу нарахування та сплати ПДВ</w:t>
      </w:r>
      <w:r w:rsidR="00827DBB" w:rsidRPr="00DC6F20">
        <w:rPr>
          <w:rFonts w:ascii="Times New Roman" w:hAnsi="Times New Roman" w:cs="Times New Roman"/>
          <w:sz w:val="28"/>
          <w:szCs w:val="24"/>
        </w:rPr>
        <w:t xml:space="preserve"> (див.</w:t>
      </w:r>
      <w:r w:rsidR="00932492">
        <w:rPr>
          <w:rFonts w:ascii="Times New Roman" w:hAnsi="Times New Roman" w:cs="Times New Roman"/>
          <w:sz w:val="28"/>
          <w:szCs w:val="24"/>
        </w:rPr>
        <w:t xml:space="preserve"> Додаток 1</w:t>
      </w:r>
      <w:r w:rsidR="00827DBB" w:rsidRPr="00DC6F20">
        <w:rPr>
          <w:rFonts w:ascii="Times New Roman" w:hAnsi="Times New Roman" w:cs="Times New Roman"/>
          <w:sz w:val="28"/>
          <w:szCs w:val="24"/>
        </w:rPr>
        <w:t xml:space="preserve"> </w:t>
      </w:r>
      <w:r w:rsidR="00932492">
        <w:rPr>
          <w:rFonts w:ascii="Times New Roman" w:hAnsi="Times New Roman" w:cs="Times New Roman"/>
          <w:sz w:val="28"/>
          <w:szCs w:val="24"/>
        </w:rPr>
        <w:t>(</w:t>
      </w:r>
      <w:r w:rsidR="00827DBB" w:rsidRPr="00DC6F20">
        <w:rPr>
          <w:rFonts w:ascii="Times New Roman" w:hAnsi="Times New Roman" w:cs="Times New Roman"/>
          <w:sz w:val="28"/>
          <w:szCs w:val="24"/>
        </w:rPr>
        <w:t>10</w:t>
      </w:r>
      <w:r w:rsidR="00932492">
        <w:rPr>
          <w:rFonts w:ascii="Times New Roman" w:hAnsi="Times New Roman" w:cs="Times New Roman"/>
          <w:sz w:val="28"/>
          <w:szCs w:val="24"/>
        </w:rPr>
        <w:t>)</w:t>
      </w:r>
      <w:r w:rsidR="00827DBB" w:rsidRPr="00DC6F20">
        <w:rPr>
          <w:rFonts w:ascii="Times New Roman" w:hAnsi="Times New Roman" w:cs="Times New Roman"/>
          <w:sz w:val="28"/>
          <w:szCs w:val="24"/>
        </w:rPr>
        <w:t>)</w:t>
      </w:r>
      <w:r w:rsidR="00303DDE" w:rsidRPr="00DC6F20">
        <w:rPr>
          <w:rFonts w:ascii="Times New Roman" w:hAnsi="Times New Roman" w:cs="Times New Roman"/>
          <w:sz w:val="28"/>
          <w:szCs w:val="24"/>
        </w:rPr>
        <w:t xml:space="preserve">. Але, </w:t>
      </w:r>
      <w:r w:rsidR="00827DBB" w:rsidRPr="00DC6F20">
        <w:rPr>
          <w:rFonts w:ascii="Times New Roman" w:hAnsi="Times New Roman" w:cs="Times New Roman"/>
          <w:sz w:val="28"/>
          <w:szCs w:val="24"/>
        </w:rPr>
        <w:t xml:space="preserve">на той час, </w:t>
      </w:r>
      <w:r w:rsidR="00303DDE" w:rsidRPr="00DC6F20">
        <w:rPr>
          <w:rFonts w:ascii="Times New Roman" w:hAnsi="Times New Roman" w:cs="Times New Roman"/>
          <w:sz w:val="28"/>
          <w:szCs w:val="24"/>
        </w:rPr>
        <w:t>зловживання пільгами та бартерізація економіки</w:t>
      </w:r>
      <w:r w:rsidR="0073557B" w:rsidRPr="00DC6F20">
        <w:rPr>
          <w:rFonts w:ascii="Times New Roman" w:hAnsi="Times New Roman" w:cs="Times New Roman"/>
          <w:sz w:val="28"/>
          <w:szCs w:val="24"/>
        </w:rPr>
        <w:t xml:space="preserve"> </w:t>
      </w:r>
      <w:r w:rsidR="00303DDE" w:rsidRPr="00DC6F20">
        <w:rPr>
          <w:rFonts w:ascii="Times New Roman" w:hAnsi="Times New Roman" w:cs="Times New Roman"/>
          <w:sz w:val="28"/>
          <w:szCs w:val="24"/>
        </w:rPr>
        <w:t>(на початку 1997 р. в промисловості за бартером реалізовувалася третина виробленої продукції)</w:t>
      </w:r>
      <w:r w:rsidR="00827DBB" w:rsidRPr="00DC6F20">
        <w:rPr>
          <w:rFonts w:ascii="Times New Roman" w:hAnsi="Times New Roman" w:cs="Times New Roman"/>
          <w:sz w:val="28"/>
          <w:szCs w:val="24"/>
        </w:rPr>
        <w:t xml:space="preserve"> призвели до переходу націона</w:t>
      </w:r>
      <w:r w:rsidRPr="00DC6F20">
        <w:rPr>
          <w:rFonts w:ascii="Times New Roman" w:hAnsi="Times New Roman" w:cs="Times New Roman"/>
          <w:sz w:val="28"/>
          <w:szCs w:val="24"/>
        </w:rPr>
        <w:t>льного податкового законодавства</w:t>
      </w:r>
      <w:r w:rsidR="00827DBB" w:rsidRPr="00DC6F20">
        <w:rPr>
          <w:rFonts w:ascii="Times New Roman" w:hAnsi="Times New Roman" w:cs="Times New Roman"/>
          <w:sz w:val="28"/>
          <w:szCs w:val="24"/>
        </w:rPr>
        <w:t xml:space="preserve"> на загальноєвропейську модель - так зване «загальне правило» виникнення податкового зобов'язання з ПДВ (</w:t>
      </w:r>
      <w:r w:rsidR="0061783B" w:rsidRPr="00DC6F20">
        <w:rPr>
          <w:rFonts w:ascii="Times New Roman" w:hAnsi="Times New Roman" w:cs="Times New Roman"/>
          <w:sz w:val="28"/>
          <w:szCs w:val="24"/>
        </w:rPr>
        <w:t>див.</w:t>
      </w:r>
      <w:r w:rsidR="00932492" w:rsidRPr="00932492">
        <w:rPr>
          <w:rFonts w:ascii="Times New Roman" w:hAnsi="Times New Roman" w:cs="Times New Roman"/>
          <w:sz w:val="28"/>
          <w:szCs w:val="24"/>
        </w:rPr>
        <w:t xml:space="preserve"> </w:t>
      </w:r>
      <w:r w:rsidR="00932492">
        <w:rPr>
          <w:rFonts w:ascii="Times New Roman" w:hAnsi="Times New Roman" w:cs="Times New Roman"/>
          <w:sz w:val="28"/>
          <w:szCs w:val="24"/>
        </w:rPr>
        <w:t>Додаток 1</w:t>
      </w:r>
      <w:r w:rsidR="0061783B" w:rsidRPr="00DC6F20">
        <w:rPr>
          <w:rFonts w:ascii="Times New Roman" w:hAnsi="Times New Roman" w:cs="Times New Roman"/>
          <w:sz w:val="28"/>
          <w:szCs w:val="24"/>
        </w:rPr>
        <w:t xml:space="preserve"> </w:t>
      </w:r>
      <w:r w:rsidR="00932492">
        <w:rPr>
          <w:rFonts w:ascii="Times New Roman" w:hAnsi="Times New Roman" w:cs="Times New Roman"/>
          <w:sz w:val="28"/>
          <w:szCs w:val="24"/>
        </w:rPr>
        <w:t>(</w:t>
      </w:r>
      <w:r w:rsidR="0061783B" w:rsidRPr="00DC6F20">
        <w:rPr>
          <w:rFonts w:ascii="Times New Roman" w:hAnsi="Times New Roman" w:cs="Times New Roman"/>
          <w:sz w:val="28"/>
          <w:szCs w:val="24"/>
        </w:rPr>
        <w:t>2</w:t>
      </w:r>
      <w:r w:rsidR="00932492">
        <w:rPr>
          <w:rFonts w:ascii="Times New Roman" w:hAnsi="Times New Roman" w:cs="Times New Roman"/>
          <w:sz w:val="28"/>
          <w:szCs w:val="24"/>
        </w:rPr>
        <w:t>)</w:t>
      </w:r>
      <w:r w:rsidR="00C4315D" w:rsidRPr="00DC6F20">
        <w:rPr>
          <w:rFonts w:ascii="Times New Roman" w:hAnsi="Times New Roman" w:cs="Times New Roman"/>
          <w:sz w:val="28"/>
          <w:szCs w:val="24"/>
        </w:rPr>
        <w:t xml:space="preserve"> та </w:t>
      </w:r>
      <w:r w:rsidR="00932492">
        <w:rPr>
          <w:rFonts w:ascii="Times New Roman" w:hAnsi="Times New Roman" w:cs="Times New Roman"/>
          <w:sz w:val="28"/>
          <w:szCs w:val="24"/>
        </w:rPr>
        <w:t>(</w:t>
      </w:r>
      <w:r w:rsidR="00C4315D" w:rsidRPr="00DC6F20">
        <w:rPr>
          <w:rFonts w:ascii="Times New Roman" w:hAnsi="Times New Roman" w:cs="Times New Roman"/>
          <w:sz w:val="28"/>
          <w:szCs w:val="24"/>
        </w:rPr>
        <w:t>8</w:t>
      </w:r>
      <w:r w:rsidR="00932492">
        <w:rPr>
          <w:rFonts w:ascii="Times New Roman" w:hAnsi="Times New Roman" w:cs="Times New Roman"/>
          <w:sz w:val="28"/>
          <w:szCs w:val="24"/>
        </w:rPr>
        <w:t>)</w:t>
      </w:r>
      <w:r w:rsidR="00827DBB" w:rsidRPr="00DC6F20">
        <w:rPr>
          <w:rFonts w:ascii="Times New Roman" w:hAnsi="Times New Roman" w:cs="Times New Roman"/>
          <w:sz w:val="28"/>
          <w:szCs w:val="24"/>
        </w:rPr>
        <w:t>).</w:t>
      </w:r>
      <w:r w:rsidR="00C4315D" w:rsidRPr="00DC6F20">
        <w:rPr>
          <w:rFonts w:ascii="Times New Roman" w:hAnsi="Times New Roman" w:cs="Times New Roman"/>
          <w:sz w:val="28"/>
          <w:szCs w:val="24"/>
        </w:rPr>
        <w:t xml:space="preserve"> </w:t>
      </w:r>
    </w:p>
    <w:p w:rsidR="001F07A3" w:rsidRPr="00DC6F20" w:rsidRDefault="001F07A3" w:rsidP="00913B64">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На </w:t>
      </w:r>
      <w:r w:rsidR="00DC6F20">
        <w:rPr>
          <w:rFonts w:ascii="Times New Roman" w:hAnsi="Times New Roman" w:cs="Times New Roman"/>
          <w:sz w:val="28"/>
          <w:szCs w:val="24"/>
        </w:rPr>
        <w:t>цей час</w:t>
      </w:r>
      <w:r w:rsidRPr="00DC6F20">
        <w:rPr>
          <w:rFonts w:ascii="Times New Roman" w:hAnsi="Times New Roman" w:cs="Times New Roman"/>
          <w:sz w:val="28"/>
          <w:szCs w:val="24"/>
        </w:rPr>
        <w:t xml:space="preserve"> </w:t>
      </w:r>
      <w:r w:rsidR="00894E61" w:rsidRPr="00DC6F20">
        <w:rPr>
          <w:rFonts w:ascii="Times New Roman" w:hAnsi="Times New Roman" w:cs="Times New Roman"/>
          <w:sz w:val="28"/>
          <w:szCs w:val="24"/>
        </w:rPr>
        <w:t>По</w:t>
      </w:r>
      <w:r w:rsidRPr="00DC6F20">
        <w:rPr>
          <w:rFonts w:ascii="Times New Roman" w:hAnsi="Times New Roman" w:cs="Times New Roman"/>
          <w:sz w:val="28"/>
          <w:szCs w:val="24"/>
        </w:rPr>
        <w:t>датковий</w:t>
      </w:r>
      <w:r w:rsidR="00894E61" w:rsidRPr="00DC6F20">
        <w:rPr>
          <w:rFonts w:ascii="Times New Roman" w:hAnsi="Times New Roman" w:cs="Times New Roman"/>
          <w:sz w:val="28"/>
          <w:szCs w:val="24"/>
        </w:rPr>
        <w:t xml:space="preserve"> </w:t>
      </w:r>
      <w:r w:rsidRPr="00DC6F20">
        <w:rPr>
          <w:rFonts w:ascii="Times New Roman" w:hAnsi="Times New Roman" w:cs="Times New Roman"/>
          <w:sz w:val="28"/>
          <w:szCs w:val="24"/>
        </w:rPr>
        <w:t>кодекс</w:t>
      </w:r>
      <w:r w:rsidR="00894E61" w:rsidRPr="00DC6F20">
        <w:rPr>
          <w:rFonts w:ascii="Times New Roman" w:hAnsi="Times New Roman" w:cs="Times New Roman"/>
          <w:sz w:val="28"/>
          <w:szCs w:val="24"/>
        </w:rPr>
        <w:t xml:space="preserve"> України</w:t>
      </w:r>
      <w:r w:rsidRPr="00DC6F20">
        <w:rPr>
          <w:rFonts w:ascii="Times New Roman" w:hAnsi="Times New Roman" w:cs="Times New Roman"/>
          <w:sz w:val="28"/>
          <w:szCs w:val="24"/>
        </w:rPr>
        <w:t xml:space="preserve"> </w:t>
      </w:r>
      <w:r w:rsidR="000F38B5" w:rsidRPr="00DC6F20">
        <w:rPr>
          <w:rFonts w:ascii="Times New Roman" w:hAnsi="Times New Roman" w:cs="Times New Roman"/>
          <w:sz w:val="28"/>
          <w:szCs w:val="24"/>
        </w:rPr>
        <w:t xml:space="preserve">(далі - ПКУ) </w:t>
      </w:r>
      <w:r w:rsidR="00913B64" w:rsidRPr="00DC6F20">
        <w:rPr>
          <w:rFonts w:ascii="Times New Roman" w:hAnsi="Times New Roman" w:cs="Times New Roman"/>
          <w:sz w:val="28"/>
          <w:szCs w:val="24"/>
        </w:rPr>
        <w:t xml:space="preserve">містить визначення касового методу, </w:t>
      </w:r>
      <w:r w:rsidR="00DD52ED" w:rsidRPr="00DC6F20">
        <w:rPr>
          <w:rFonts w:ascii="Times New Roman" w:hAnsi="Times New Roman" w:cs="Times New Roman"/>
          <w:sz w:val="28"/>
          <w:szCs w:val="24"/>
        </w:rPr>
        <w:t xml:space="preserve">як особливий порядок виникнення податкових зобов'язань, так і порядок виникнення права на податковий кредит </w:t>
      </w:r>
      <w:r w:rsidR="00913B64" w:rsidRPr="00DC6F20">
        <w:rPr>
          <w:rFonts w:ascii="Times New Roman" w:hAnsi="Times New Roman" w:cs="Times New Roman"/>
          <w:sz w:val="28"/>
          <w:szCs w:val="24"/>
        </w:rPr>
        <w:t>за яким «дата виникнення податкових зобов'язань визначається як дата зарахування (отримання) коштів на банківський рахунок (у касу) платника податку» (див. 1)</w:t>
      </w:r>
      <w:r w:rsidR="00DD52ED" w:rsidRPr="00DC6F20">
        <w:rPr>
          <w:rFonts w:ascii="Times New Roman" w:hAnsi="Times New Roman" w:cs="Times New Roman"/>
          <w:sz w:val="28"/>
          <w:szCs w:val="24"/>
        </w:rPr>
        <w:t xml:space="preserve">, та передбачає </w:t>
      </w:r>
      <w:r w:rsidR="00DD52ED" w:rsidRPr="00DC6F20">
        <w:rPr>
          <w:rFonts w:ascii="Times New Roman" w:hAnsi="Times New Roman" w:cs="Times New Roman"/>
          <w:sz w:val="28"/>
          <w:szCs w:val="24"/>
          <w:u w:val="single"/>
        </w:rPr>
        <w:t>три випадку</w:t>
      </w:r>
      <w:r w:rsidRPr="00DC6F20">
        <w:rPr>
          <w:rFonts w:ascii="Times New Roman" w:hAnsi="Times New Roman" w:cs="Times New Roman"/>
          <w:sz w:val="28"/>
          <w:szCs w:val="24"/>
        </w:rPr>
        <w:t xml:space="preserve"> </w:t>
      </w:r>
      <w:r w:rsidR="0061783B" w:rsidRPr="00DC6F20">
        <w:rPr>
          <w:rFonts w:ascii="Times New Roman" w:hAnsi="Times New Roman" w:cs="Times New Roman"/>
          <w:sz w:val="28"/>
          <w:szCs w:val="24"/>
        </w:rPr>
        <w:t xml:space="preserve">його </w:t>
      </w:r>
      <w:r w:rsidRPr="00DC6F20">
        <w:rPr>
          <w:rFonts w:ascii="Times New Roman" w:hAnsi="Times New Roman" w:cs="Times New Roman"/>
          <w:sz w:val="28"/>
          <w:szCs w:val="24"/>
        </w:rPr>
        <w:t>застосування</w:t>
      </w:r>
      <w:r w:rsidR="0061783B" w:rsidRPr="00DC6F20">
        <w:rPr>
          <w:rFonts w:ascii="Times New Roman" w:hAnsi="Times New Roman" w:cs="Times New Roman"/>
          <w:sz w:val="28"/>
          <w:szCs w:val="24"/>
        </w:rPr>
        <w:t xml:space="preserve"> (див. </w:t>
      </w:r>
      <w:r w:rsidR="00932492">
        <w:rPr>
          <w:rFonts w:ascii="Times New Roman" w:hAnsi="Times New Roman" w:cs="Times New Roman"/>
          <w:sz w:val="28"/>
          <w:szCs w:val="24"/>
        </w:rPr>
        <w:t>Додаток 1 (</w:t>
      </w:r>
      <w:r w:rsidR="0061783B" w:rsidRPr="00DC6F20">
        <w:rPr>
          <w:rFonts w:ascii="Times New Roman" w:hAnsi="Times New Roman" w:cs="Times New Roman"/>
          <w:sz w:val="28"/>
          <w:szCs w:val="24"/>
        </w:rPr>
        <w:t>3</w:t>
      </w:r>
      <w:r w:rsidR="00932492">
        <w:rPr>
          <w:rFonts w:ascii="Times New Roman" w:hAnsi="Times New Roman" w:cs="Times New Roman"/>
          <w:sz w:val="28"/>
          <w:szCs w:val="24"/>
        </w:rPr>
        <w:t>)</w:t>
      </w:r>
      <w:r w:rsidR="0061783B" w:rsidRPr="00DC6F20">
        <w:rPr>
          <w:rFonts w:ascii="Times New Roman" w:hAnsi="Times New Roman" w:cs="Times New Roman"/>
          <w:sz w:val="28"/>
          <w:szCs w:val="24"/>
        </w:rPr>
        <w:t>-</w:t>
      </w:r>
      <w:r w:rsidR="00932492">
        <w:rPr>
          <w:rFonts w:ascii="Times New Roman" w:hAnsi="Times New Roman" w:cs="Times New Roman"/>
          <w:sz w:val="28"/>
          <w:szCs w:val="24"/>
        </w:rPr>
        <w:t>(</w:t>
      </w:r>
      <w:r w:rsidR="0061783B" w:rsidRPr="00DC6F20">
        <w:rPr>
          <w:rFonts w:ascii="Times New Roman" w:hAnsi="Times New Roman" w:cs="Times New Roman"/>
          <w:sz w:val="28"/>
          <w:szCs w:val="24"/>
        </w:rPr>
        <w:t>6</w:t>
      </w:r>
      <w:r w:rsidR="00932492">
        <w:rPr>
          <w:rFonts w:ascii="Times New Roman" w:hAnsi="Times New Roman" w:cs="Times New Roman"/>
          <w:sz w:val="28"/>
          <w:szCs w:val="24"/>
        </w:rPr>
        <w:t>)</w:t>
      </w:r>
      <w:r w:rsidR="0061783B" w:rsidRPr="00DC6F20">
        <w:rPr>
          <w:rFonts w:ascii="Times New Roman" w:hAnsi="Times New Roman" w:cs="Times New Roman"/>
          <w:sz w:val="28"/>
          <w:szCs w:val="24"/>
        </w:rPr>
        <w:t>)</w:t>
      </w:r>
      <w:r w:rsidRPr="00DC6F20">
        <w:rPr>
          <w:rFonts w:ascii="Times New Roman" w:hAnsi="Times New Roman" w:cs="Times New Roman"/>
          <w:sz w:val="28"/>
          <w:szCs w:val="24"/>
        </w:rPr>
        <w:t>:</w:t>
      </w:r>
    </w:p>
    <w:p w:rsidR="001F07A3" w:rsidRPr="00DC6F20" w:rsidRDefault="001F07A3" w:rsidP="00913B64">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   </w:t>
      </w:r>
      <w:r w:rsidR="0061783B" w:rsidRPr="00DC6F20">
        <w:rPr>
          <w:rFonts w:ascii="Times New Roman" w:hAnsi="Times New Roman" w:cs="Times New Roman"/>
          <w:sz w:val="28"/>
          <w:szCs w:val="24"/>
        </w:rPr>
        <w:t>за операціями з виконання підрядних будівельних робіт;</w:t>
      </w:r>
    </w:p>
    <w:p w:rsidR="0061783B" w:rsidRPr="00DC6F20" w:rsidRDefault="0061783B" w:rsidP="0061783B">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 постачаня </w:t>
      </w:r>
      <w:r w:rsidR="00FA55AF" w:rsidRPr="00DC6F20">
        <w:rPr>
          <w:rFonts w:ascii="Times New Roman" w:hAnsi="Times New Roman" w:cs="Times New Roman"/>
          <w:sz w:val="28"/>
          <w:szCs w:val="24"/>
        </w:rPr>
        <w:t xml:space="preserve">фізичним особам, бюджетним установам та житлово-експлуатаційним конторам </w:t>
      </w:r>
      <w:r w:rsidRPr="00DC6F20">
        <w:rPr>
          <w:rFonts w:ascii="Times New Roman" w:hAnsi="Times New Roman" w:cs="Times New Roman"/>
          <w:sz w:val="28"/>
          <w:szCs w:val="24"/>
        </w:rPr>
        <w:t>теплов</w:t>
      </w:r>
      <w:r w:rsidR="00FA55AF" w:rsidRPr="00DC6F20">
        <w:rPr>
          <w:rFonts w:ascii="Times New Roman" w:hAnsi="Times New Roman" w:cs="Times New Roman"/>
          <w:sz w:val="28"/>
          <w:szCs w:val="24"/>
        </w:rPr>
        <w:t>ої енергії та</w:t>
      </w:r>
      <w:r w:rsidRPr="00DC6F20">
        <w:rPr>
          <w:rFonts w:ascii="Times New Roman" w:hAnsi="Times New Roman" w:cs="Times New Roman"/>
          <w:sz w:val="28"/>
          <w:szCs w:val="24"/>
        </w:rPr>
        <w:t xml:space="preserve"> природнього газ</w:t>
      </w:r>
      <w:r w:rsidR="00FA55AF" w:rsidRPr="00DC6F20">
        <w:rPr>
          <w:rFonts w:ascii="Times New Roman" w:hAnsi="Times New Roman" w:cs="Times New Roman"/>
          <w:sz w:val="28"/>
          <w:szCs w:val="24"/>
        </w:rPr>
        <w:t>у,</w:t>
      </w:r>
      <w:r w:rsidRPr="00DC6F20">
        <w:rPr>
          <w:rFonts w:ascii="Times New Roman" w:hAnsi="Times New Roman" w:cs="Times New Roman"/>
          <w:sz w:val="28"/>
          <w:szCs w:val="24"/>
        </w:rPr>
        <w:t xml:space="preserve"> надання послуг з транспортування, розподілу газу, водопостачання, водовідведення та послуг у сфері житлово-комунального господарства;</w:t>
      </w:r>
    </w:p>
    <w:p w:rsidR="00DD52ED" w:rsidRPr="00DC6F20" w:rsidRDefault="0061783B" w:rsidP="00DD52ED">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 </w:t>
      </w:r>
      <w:r w:rsidR="00CC7E10" w:rsidRPr="00DC6F20">
        <w:rPr>
          <w:rFonts w:ascii="Times New Roman" w:hAnsi="Times New Roman" w:cs="Times New Roman"/>
          <w:sz w:val="28"/>
          <w:szCs w:val="24"/>
        </w:rPr>
        <w:t>постачання, передачу, розподіл електричної та/або теплової енергії, постачання вугілля та/або продуктів його збагачення (</w:t>
      </w:r>
      <w:r w:rsidR="00CC7E10" w:rsidRPr="00DC6F20">
        <w:rPr>
          <w:rFonts w:ascii="Times New Roman" w:hAnsi="Times New Roman" w:cs="Times New Roman"/>
          <w:i/>
          <w:sz w:val="28"/>
          <w:szCs w:val="24"/>
        </w:rPr>
        <w:t>тимчасово до 1 липня 2017 року</w:t>
      </w:r>
      <w:r w:rsidR="00CC7E10" w:rsidRPr="00DC6F20">
        <w:rPr>
          <w:rFonts w:ascii="Times New Roman" w:hAnsi="Times New Roman" w:cs="Times New Roman"/>
          <w:sz w:val="28"/>
          <w:szCs w:val="24"/>
        </w:rPr>
        <w:t>).</w:t>
      </w:r>
      <w:r w:rsidR="00DD52ED" w:rsidRPr="00DC6F20">
        <w:rPr>
          <w:rFonts w:ascii="Times New Roman" w:hAnsi="Times New Roman" w:cs="Times New Roman"/>
          <w:sz w:val="28"/>
          <w:szCs w:val="24"/>
        </w:rPr>
        <w:t xml:space="preserve"> </w:t>
      </w:r>
    </w:p>
    <w:p w:rsidR="00DD52ED" w:rsidRPr="00DC6F20" w:rsidRDefault="00DD52ED" w:rsidP="00DD52ED">
      <w:pPr>
        <w:spacing w:after="0"/>
        <w:jc w:val="both"/>
        <w:rPr>
          <w:rFonts w:ascii="Times New Roman" w:hAnsi="Times New Roman" w:cs="Times New Roman"/>
          <w:sz w:val="28"/>
          <w:szCs w:val="24"/>
        </w:rPr>
      </w:pPr>
      <w:r w:rsidRPr="00DC6F20">
        <w:rPr>
          <w:rFonts w:ascii="Times New Roman" w:hAnsi="Times New Roman" w:cs="Times New Roman"/>
          <w:sz w:val="28"/>
          <w:szCs w:val="24"/>
        </w:rPr>
        <w:lastRenderedPageBreak/>
        <w:t>та особливий випадок у разі постачання товарів/послуг з оплатою за рахунок бюджетних коштів, що передбачає окремий порядок виникнення лише податкових зобов'язань з ПДВ. Тобто,</w:t>
      </w:r>
      <w:r w:rsidRPr="00DC6F20">
        <w:rPr>
          <w:sz w:val="24"/>
        </w:rPr>
        <w:t xml:space="preserve"> </w:t>
      </w:r>
      <w:r w:rsidRPr="00DC6F20">
        <w:rPr>
          <w:rFonts w:ascii="Times New Roman" w:hAnsi="Times New Roman" w:cs="Times New Roman"/>
          <w:sz w:val="28"/>
          <w:szCs w:val="24"/>
        </w:rPr>
        <w:t>платник формує податкові зобов'язання за принципом «касового методу», а податковий кредит - за загальною схемою, ст. 198 ПКУ.</w:t>
      </w:r>
    </w:p>
    <w:p w:rsidR="00932492" w:rsidRDefault="00932492" w:rsidP="0061783B">
      <w:pPr>
        <w:spacing w:after="0"/>
        <w:jc w:val="both"/>
        <w:rPr>
          <w:rFonts w:ascii="Times New Roman" w:hAnsi="Times New Roman" w:cs="Times New Roman"/>
          <w:b/>
          <w:sz w:val="28"/>
          <w:szCs w:val="24"/>
        </w:rPr>
      </w:pPr>
    </w:p>
    <w:p w:rsidR="000B577F" w:rsidRPr="00DC6F20" w:rsidRDefault="00E64822" w:rsidP="0061783B">
      <w:pPr>
        <w:spacing w:after="0"/>
        <w:jc w:val="both"/>
        <w:rPr>
          <w:rFonts w:ascii="Times New Roman" w:hAnsi="Times New Roman" w:cs="Times New Roman"/>
          <w:b/>
          <w:sz w:val="28"/>
          <w:szCs w:val="24"/>
        </w:rPr>
      </w:pPr>
      <w:r w:rsidRPr="00DC6F20">
        <w:rPr>
          <w:rFonts w:ascii="Times New Roman" w:hAnsi="Times New Roman" w:cs="Times New Roman"/>
          <w:b/>
          <w:sz w:val="28"/>
          <w:szCs w:val="24"/>
        </w:rPr>
        <w:t>Висновок:</w:t>
      </w:r>
      <w:r w:rsidR="000B577F" w:rsidRPr="00DC6F20">
        <w:rPr>
          <w:rFonts w:ascii="Times New Roman" w:hAnsi="Times New Roman" w:cs="Times New Roman"/>
          <w:b/>
          <w:sz w:val="28"/>
          <w:szCs w:val="24"/>
        </w:rPr>
        <w:t xml:space="preserve"> застосування касового методу сплати ПДВ є звичайною українською практикою</w:t>
      </w:r>
      <w:r w:rsidR="00DB300B" w:rsidRPr="00DC6F20">
        <w:rPr>
          <w:rFonts w:ascii="Times New Roman" w:hAnsi="Times New Roman" w:cs="Times New Roman"/>
          <w:b/>
          <w:sz w:val="28"/>
          <w:szCs w:val="24"/>
        </w:rPr>
        <w:t xml:space="preserve"> </w:t>
      </w:r>
      <w:r w:rsidR="00DB300B" w:rsidRPr="00DC6F20">
        <w:rPr>
          <w:rFonts w:ascii="Times New Roman" w:hAnsi="Times New Roman" w:cs="Times New Roman"/>
          <w:sz w:val="28"/>
          <w:szCs w:val="24"/>
        </w:rPr>
        <w:t xml:space="preserve">(див. </w:t>
      </w:r>
      <w:r w:rsidR="00932492">
        <w:rPr>
          <w:rFonts w:ascii="Times New Roman" w:hAnsi="Times New Roman" w:cs="Times New Roman"/>
          <w:sz w:val="28"/>
          <w:szCs w:val="24"/>
        </w:rPr>
        <w:t>Додаток 1 (</w:t>
      </w:r>
      <w:r w:rsidR="00DB300B" w:rsidRPr="00DC6F20">
        <w:rPr>
          <w:rFonts w:ascii="Times New Roman" w:hAnsi="Times New Roman" w:cs="Times New Roman"/>
          <w:sz w:val="28"/>
          <w:szCs w:val="24"/>
        </w:rPr>
        <w:t>7</w:t>
      </w:r>
      <w:r w:rsidR="00932492">
        <w:rPr>
          <w:rFonts w:ascii="Times New Roman" w:hAnsi="Times New Roman" w:cs="Times New Roman"/>
          <w:sz w:val="28"/>
          <w:szCs w:val="24"/>
        </w:rPr>
        <w:t>)</w:t>
      </w:r>
      <w:r w:rsidR="00DB300B" w:rsidRPr="00DC6F20">
        <w:rPr>
          <w:rFonts w:ascii="Times New Roman" w:hAnsi="Times New Roman" w:cs="Times New Roman"/>
          <w:sz w:val="28"/>
          <w:szCs w:val="24"/>
        </w:rPr>
        <w:t>)</w:t>
      </w:r>
      <w:r w:rsidR="000B577F" w:rsidRPr="00DC6F20">
        <w:rPr>
          <w:rFonts w:ascii="Times New Roman" w:hAnsi="Times New Roman" w:cs="Times New Roman"/>
          <w:b/>
          <w:sz w:val="28"/>
          <w:szCs w:val="24"/>
        </w:rPr>
        <w:t>.</w:t>
      </w:r>
    </w:p>
    <w:p w:rsidR="00DC6F20" w:rsidRDefault="00DC6F20" w:rsidP="0061783B">
      <w:pPr>
        <w:spacing w:after="0"/>
        <w:jc w:val="both"/>
        <w:rPr>
          <w:rFonts w:ascii="Times New Roman" w:hAnsi="Times New Roman" w:cs="Times New Roman"/>
          <w:b/>
          <w:sz w:val="28"/>
          <w:szCs w:val="24"/>
          <w:u w:val="single"/>
        </w:rPr>
      </w:pPr>
    </w:p>
    <w:p w:rsidR="00DC6F20" w:rsidRDefault="00DC6F20" w:rsidP="0061783B">
      <w:pPr>
        <w:spacing w:after="0"/>
        <w:jc w:val="both"/>
        <w:rPr>
          <w:rFonts w:ascii="Times New Roman" w:hAnsi="Times New Roman" w:cs="Times New Roman"/>
          <w:b/>
          <w:sz w:val="28"/>
          <w:szCs w:val="24"/>
          <w:u w:val="single"/>
        </w:rPr>
      </w:pPr>
    </w:p>
    <w:p w:rsidR="00DC6F20" w:rsidRDefault="00DC6F20" w:rsidP="0061783B">
      <w:pPr>
        <w:spacing w:after="0"/>
        <w:jc w:val="both"/>
        <w:rPr>
          <w:rFonts w:ascii="Times New Roman" w:hAnsi="Times New Roman" w:cs="Times New Roman"/>
          <w:b/>
          <w:sz w:val="28"/>
          <w:szCs w:val="24"/>
          <w:u w:val="single"/>
        </w:rPr>
      </w:pPr>
    </w:p>
    <w:p w:rsidR="00CC7E10" w:rsidRDefault="00CC7E10" w:rsidP="0061783B">
      <w:pPr>
        <w:spacing w:after="0"/>
        <w:jc w:val="both"/>
        <w:rPr>
          <w:rFonts w:ascii="Times New Roman" w:hAnsi="Times New Roman" w:cs="Times New Roman"/>
          <w:b/>
          <w:sz w:val="28"/>
          <w:szCs w:val="24"/>
          <w:u w:val="single"/>
        </w:rPr>
      </w:pPr>
      <w:r w:rsidRPr="00DC6F20">
        <w:rPr>
          <w:rFonts w:ascii="Times New Roman" w:hAnsi="Times New Roman" w:cs="Times New Roman"/>
          <w:b/>
          <w:sz w:val="28"/>
          <w:szCs w:val="24"/>
          <w:u w:val="single"/>
        </w:rPr>
        <w:t>2. Міжнародний досвід</w:t>
      </w:r>
    </w:p>
    <w:p w:rsidR="00DC6F20" w:rsidRPr="00DC6F20" w:rsidRDefault="00DC6F20" w:rsidP="0061783B">
      <w:pPr>
        <w:spacing w:after="0"/>
        <w:jc w:val="both"/>
        <w:rPr>
          <w:rFonts w:ascii="Times New Roman" w:hAnsi="Times New Roman" w:cs="Times New Roman"/>
          <w:b/>
          <w:sz w:val="28"/>
          <w:szCs w:val="24"/>
          <w:u w:val="single"/>
        </w:rPr>
      </w:pPr>
    </w:p>
    <w:p w:rsidR="00F066EE" w:rsidRPr="00DC6F20" w:rsidRDefault="00B3342A" w:rsidP="00F066EE">
      <w:pPr>
        <w:spacing w:after="0"/>
        <w:jc w:val="both"/>
        <w:rPr>
          <w:rFonts w:ascii="Times New Roman" w:hAnsi="Times New Roman" w:cs="Times New Roman"/>
          <w:sz w:val="28"/>
          <w:szCs w:val="24"/>
        </w:rPr>
      </w:pPr>
      <w:r w:rsidRPr="00DC6F20">
        <w:rPr>
          <w:rFonts w:ascii="Times New Roman" w:hAnsi="Times New Roman" w:cs="Times New Roman"/>
          <w:sz w:val="28"/>
          <w:szCs w:val="24"/>
        </w:rPr>
        <w:t>Відбір країн здійснювався на умовах співставленості, тобто країни які відповідають або близькі до України з точки зору соціально-</w:t>
      </w:r>
      <w:r w:rsidR="00F066EE" w:rsidRPr="00DC6F20">
        <w:rPr>
          <w:rFonts w:ascii="Times New Roman" w:hAnsi="Times New Roman" w:cs="Times New Roman"/>
          <w:sz w:val="28"/>
          <w:szCs w:val="24"/>
        </w:rPr>
        <w:t xml:space="preserve">економічних чинників: рівень економічного розвитку (ВВП на душу населення); масштаб економіки (обсяг ВВП); структура економіки; соціально-політичні чинники. </w:t>
      </w:r>
      <w:r w:rsidRPr="00DC6F20">
        <w:rPr>
          <w:rFonts w:ascii="Times New Roman" w:hAnsi="Times New Roman" w:cs="Times New Roman"/>
          <w:sz w:val="28"/>
          <w:szCs w:val="24"/>
        </w:rPr>
        <w:t>Порівняння податкових систем таких країн з чинною податковою системою України дозволить дати об'єктивну оцінку</w:t>
      </w:r>
      <w:r w:rsidR="0039554A" w:rsidRPr="00DC6F20">
        <w:rPr>
          <w:rFonts w:ascii="Times New Roman" w:hAnsi="Times New Roman" w:cs="Times New Roman"/>
          <w:sz w:val="28"/>
          <w:szCs w:val="24"/>
        </w:rPr>
        <w:t xml:space="preserve"> питанню</w:t>
      </w:r>
      <w:r w:rsidR="00F066EE" w:rsidRPr="00DC6F20">
        <w:rPr>
          <w:rFonts w:ascii="Times New Roman" w:hAnsi="Times New Roman" w:cs="Times New Roman"/>
          <w:sz w:val="28"/>
          <w:szCs w:val="24"/>
        </w:rPr>
        <w:t xml:space="preserve"> використання сплати ПДВ</w:t>
      </w:r>
      <w:r w:rsidR="003C0CBD" w:rsidRPr="00DC6F20">
        <w:rPr>
          <w:rFonts w:ascii="Times New Roman" w:hAnsi="Times New Roman" w:cs="Times New Roman"/>
          <w:sz w:val="28"/>
          <w:szCs w:val="24"/>
        </w:rPr>
        <w:t xml:space="preserve"> за касовим режимом</w:t>
      </w:r>
      <w:r w:rsidRPr="00DC6F20">
        <w:rPr>
          <w:rFonts w:ascii="Times New Roman" w:hAnsi="Times New Roman" w:cs="Times New Roman"/>
          <w:sz w:val="28"/>
          <w:szCs w:val="24"/>
        </w:rPr>
        <w:t xml:space="preserve">. </w:t>
      </w:r>
      <w:r w:rsidR="00F066EE" w:rsidRPr="00DC6F20">
        <w:rPr>
          <w:rFonts w:ascii="Times New Roman" w:hAnsi="Times New Roman" w:cs="Times New Roman"/>
          <w:sz w:val="28"/>
          <w:szCs w:val="24"/>
        </w:rPr>
        <w:t xml:space="preserve">Крім цього, перелік країн доповнено </w:t>
      </w:r>
      <w:r w:rsidR="0039554A" w:rsidRPr="00DC6F20">
        <w:rPr>
          <w:rFonts w:ascii="Times New Roman" w:hAnsi="Times New Roman" w:cs="Times New Roman"/>
          <w:sz w:val="28"/>
          <w:szCs w:val="24"/>
        </w:rPr>
        <w:t>юрисдикціями</w:t>
      </w:r>
      <w:r w:rsidR="00F066EE" w:rsidRPr="00DC6F20">
        <w:rPr>
          <w:rFonts w:ascii="Times New Roman" w:hAnsi="Times New Roman" w:cs="Times New Roman"/>
          <w:sz w:val="28"/>
          <w:szCs w:val="24"/>
        </w:rPr>
        <w:t xml:space="preserve"> </w:t>
      </w:r>
      <w:r w:rsidR="0039554A" w:rsidRPr="00DC6F20">
        <w:rPr>
          <w:rFonts w:ascii="Times New Roman" w:hAnsi="Times New Roman" w:cs="Times New Roman"/>
          <w:sz w:val="28"/>
          <w:szCs w:val="24"/>
        </w:rPr>
        <w:t>досвід яких</w:t>
      </w:r>
      <w:r w:rsidR="00F066EE" w:rsidRPr="00DC6F20">
        <w:rPr>
          <w:rFonts w:ascii="Times New Roman" w:hAnsi="Times New Roman" w:cs="Times New Roman"/>
          <w:sz w:val="28"/>
          <w:szCs w:val="24"/>
        </w:rPr>
        <w:t xml:space="preserve"> допоможе виявити </w:t>
      </w:r>
      <w:r w:rsidR="003C0CBD" w:rsidRPr="00DC6F20">
        <w:rPr>
          <w:rFonts w:ascii="Times New Roman" w:hAnsi="Times New Roman" w:cs="Times New Roman"/>
          <w:sz w:val="28"/>
          <w:szCs w:val="24"/>
        </w:rPr>
        <w:t>механізми підтримки платників податку на додану вартість</w:t>
      </w:r>
      <w:r w:rsidR="0039554A" w:rsidRPr="00DC6F20">
        <w:rPr>
          <w:rFonts w:ascii="Times New Roman" w:hAnsi="Times New Roman" w:cs="Times New Roman"/>
          <w:sz w:val="28"/>
          <w:szCs w:val="24"/>
        </w:rPr>
        <w:t xml:space="preserve">. </w:t>
      </w:r>
      <w:r w:rsidR="00F066EE" w:rsidRPr="00DC6F20">
        <w:rPr>
          <w:rFonts w:ascii="Times New Roman" w:hAnsi="Times New Roman" w:cs="Times New Roman"/>
          <w:sz w:val="28"/>
          <w:szCs w:val="24"/>
        </w:rPr>
        <w:t>Таким чином, підсумковий перелік країн для аналізу податкових систем і зіставлення їх з податковою системою України виглядає наступним</w:t>
      </w:r>
      <w:r w:rsidR="0039554A" w:rsidRPr="00DC6F20">
        <w:rPr>
          <w:rFonts w:ascii="Times New Roman" w:hAnsi="Times New Roman" w:cs="Times New Roman"/>
          <w:sz w:val="28"/>
          <w:szCs w:val="24"/>
        </w:rPr>
        <w:t xml:space="preserve"> чином: Болгарія, </w:t>
      </w:r>
      <w:r w:rsidR="00F066EE" w:rsidRPr="00DC6F20">
        <w:rPr>
          <w:rFonts w:ascii="Times New Roman" w:hAnsi="Times New Roman" w:cs="Times New Roman"/>
          <w:sz w:val="28"/>
          <w:szCs w:val="24"/>
        </w:rPr>
        <w:t>Бразилія, В</w:t>
      </w:r>
      <w:r w:rsidR="006A38CC" w:rsidRPr="00DC6F20">
        <w:rPr>
          <w:rFonts w:ascii="Times New Roman" w:hAnsi="Times New Roman" w:cs="Times New Roman"/>
          <w:sz w:val="28"/>
          <w:szCs w:val="24"/>
        </w:rPr>
        <w:t>еликобританія, Угорщина,</w:t>
      </w:r>
      <w:r w:rsidR="0021026A" w:rsidRPr="00DC6F20">
        <w:rPr>
          <w:rFonts w:ascii="Times New Roman" w:hAnsi="Times New Roman" w:cs="Times New Roman"/>
          <w:sz w:val="28"/>
          <w:szCs w:val="24"/>
        </w:rPr>
        <w:t xml:space="preserve"> Польща, Ірланд</w:t>
      </w:r>
      <w:r w:rsidR="00F066EE" w:rsidRPr="00DC6F20">
        <w:rPr>
          <w:rFonts w:ascii="Times New Roman" w:hAnsi="Times New Roman" w:cs="Times New Roman"/>
          <w:sz w:val="28"/>
          <w:szCs w:val="24"/>
        </w:rPr>
        <w:t xml:space="preserve">ія і </w:t>
      </w:r>
      <w:r w:rsidR="0021026A" w:rsidRPr="00DC6F20">
        <w:rPr>
          <w:rFonts w:ascii="Times New Roman" w:hAnsi="Times New Roman" w:cs="Times New Roman"/>
          <w:sz w:val="28"/>
          <w:szCs w:val="24"/>
        </w:rPr>
        <w:t>Південно-африканська республіка</w:t>
      </w:r>
      <w:r w:rsidR="0039554A" w:rsidRPr="00DC6F20">
        <w:rPr>
          <w:rFonts w:ascii="Times New Roman" w:hAnsi="Times New Roman" w:cs="Times New Roman"/>
          <w:sz w:val="28"/>
          <w:szCs w:val="24"/>
        </w:rPr>
        <w:t xml:space="preserve"> (</w:t>
      </w:r>
      <w:r w:rsidR="000F38B5" w:rsidRPr="00DC6F20">
        <w:rPr>
          <w:rFonts w:ascii="Times New Roman" w:hAnsi="Times New Roman" w:cs="Times New Roman"/>
          <w:sz w:val="28"/>
          <w:szCs w:val="24"/>
        </w:rPr>
        <w:t xml:space="preserve">див. </w:t>
      </w:r>
      <w:r w:rsidR="0039554A" w:rsidRPr="00DC6F20">
        <w:rPr>
          <w:rFonts w:ascii="Times New Roman" w:hAnsi="Times New Roman" w:cs="Times New Roman"/>
          <w:sz w:val="28"/>
          <w:szCs w:val="24"/>
        </w:rPr>
        <w:t>Таблиця 1)</w:t>
      </w:r>
      <w:r w:rsidR="00F066EE" w:rsidRPr="00DC6F20">
        <w:rPr>
          <w:rFonts w:ascii="Times New Roman" w:hAnsi="Times New Roman" w:cs="Times New Roman"/>
          <w:sz w:val="28"/>
          <w:szCs w:val="24"/>
        </w:rPr>
        <w:t>.</w:t>
      </w:r>
    </w:p>
    <w:p w:rsidR="00DC6F20" w:rsidRDefault="00DC6F20" w:rsidP="003C0CBD">
      <w:pPr>
        <w:spacing w:after="0"/>
        <w:jc w:val="both"/>
        <w:rPr>
          <w:rFonts w:ascii="Times New Roman" w:hAnsi="Times New Roman" w:cs="Times New Roman"/>
          <w:b/>
          <w:sz w:val="28"/>
          <w:szCs w:val="24"/>
        </w:rPr>
      </w:pPr>
    </w:p>
    <w:p w:rsidR="003C0CBD" w:rsidRPr="00DC6F20" w:rsidRDefault="003C0CBD" w:rsidP="003C0CBD">
      <w:pPr>
        <w:spacing w:after="0"/>
        <w:jc w:val="both"/>
        <w:rPr>
          <w:rFonts w:ascii="Times New Roman" w:hAnsi="Times New Roman" w:cs="Times New Roman"/>
          <w:b/>
          <w:sz w:val="28"/>
          <w:szCs w:val="24"/>
        </w:rPr>
      </w:pPr>
      <w:r w:rsidRPr="00DC6F20">
        <w:rPr>
          <w:rFonts w:ascii="Times New Roman" w:hAnsi="Times New Roman" w:cs="Times New Roman"/>
          <w:b/>
          <w:sz w:val="28"/>
          <w:szCs w:val="24"/>
        </w:rPr>
        <w:t>Європейський Союз</w:t>
      </w:r>
    </w:p>
    <w:p w:rsidR="00947333" w:rsidRPr="00DC6F20" w:rsidRDefault="003C0CBD" w:rsidP="003C0CBD">
      <w:pPr>
        <w:spacing w:after="0"/>
        <w:jc w:val="both"/>
        <w:rPr>
          <w:rFonts w:ascii="Times New Roman" w:hAnsi="Times New Roman" w:cs="Times New Roman"/>
          <w:sz w:val="28"/>
          <w:szCs w:val="24"/>
        </w:rPr>
      </w:pPr>
      <w:r w:rsidRPr="00DC6F20">
        <w:rPr>
          <w:rFonts w:ascii="Times New Roman" w:hAnsi="Times New Roman" w:cs="Times New Roman"/>
          <w:sz w:val="28"/>
          <w:szCs w:val="24"/>
        </w:rPr>
        <w:t>Визначальним нормативним документом ЄС у сфері ПДВ виступає Директива Ради 2006/112/ЄС про спільну систему податку на додану вартість від 28 листопада 2006 року.</w:t>
      </w:r>
      <w:r w:rsidR="00D65D22" w:rsidRPr="00DC6F20">
        <w:rPr>
          <w:rFonts w:ascii="Times New Roman" w:hAnsi="Times New Roman" w:cs="Times New Roman"/>
          <w:sz w:val="28"/>
          <w:szCs w:val="24"/>
        </w:rPr>
        <w:t xml:space="preserve"> Статті</w:t>
      </w:r>
      <w:r w:rsidRPr="00DC6F20">
        <w:rPr>
          <w:rFonts w:ascii="Times New Roman" w:hAnsi="Times New Roman" w:cs="Times New Roman"/>
          <w:sz w:val="28"/>
          <w:szCs w:val="24"/>
        </w:rPr>
        <w:t xml:space="preserve"> 66</w:t>
      </w:r>
      <w:r w:rsidR="00D65D22" w:rsidRPr="00DC6F20">
        <w:rPr>
          <w:rFonts w:ascii="Times New Roman" w:hAnsi="Times New Roman" w:cs="Times New Roman"/>
          <w:sz w:val="28"/>
          <w:szCs w:val="24"/>
        </w:rPr>
        <w:t xml:space="preserve"> та 226</w:t>
      </w:r>
      <w:r w:rsidRPr="00DC6F20">
        <w:rPr>
          <w:rFonts w:ascii="Times New Roman" w:hAnsi="Times New Roman" w:cs="Times New Roman"/>
          <w:sz w:val="28"/>
          <w:szCs w:val="24"/>
        </w:rPr>
        <w:t xml:space="preserve"> Директиви </w:t>
      </w:r>
      <w:r w:rsidR="00D65D22" w:rsidRPr="00DC6F20">
        <w:rPr>
          <w:rFonts w:ascii="Times New Roman" w:hAnsi="Times New Roman" w:cs="Times New Roman"/>
          <w:sz w:val="28"/>
          <w:szCs w:val="24"/>
        </w:rPr>
        <w:t>передбачають</w:t>
      </w:r>
      <w:r w:rsidRPr="00DC6F20">
        <w:rPr>
          <w:rFonts w:ascii="Times New Roman" w:hAnsi="Times New Roman" w:cs="Times New Roman"/>
          <w:sz w:val="28"/>
          <w:szCs w:val="24"/>
        </w:rPr>
        <w:t>, що держав</w:t>
      </w:r>
      <w:r w:rsidR="0078679E" w:rsidRPr="00DC6F20">
        <w:rPr>
          <w:rFonts w:ascii="Times New Roman" w:hAnsi="Times New Roman" w:cs="Times New Roman"/>
          <w:sz w:val="28"/>
          <w:szCs w:val="24"/>
        </w:rPr>
        <w:t xml:space="preserve">и-члени за певними операціями або для певних категорій платників податку </w:t>
      </w:r>
      <w:r w:rsidR="006A38CC" w:rsidRPr="00DC6F20">
        <w:rPr>
          <w:rFonts w:ascii="Times New Roman" w:hAnsi="Times New Roman" w:cs="Times New Roman"/>
          <w:sz w:val="28"/>
          <w:szCs w:val="24"/>
        </w:rPr>
        <w:t>можуть визначати</w:t>
      </w:r>
      <w:r w:rsidR="0078679E" w:rsidRPr="00DC6F20">
        <w:rPr>
          <w:rFonts w:ascii="Times New Roman" w:hAnsi="Times New Roman" w:cs="Times New Roman"/>
          <w:sz w:val="28"/>
          <w:szCs w:val="24"/>
        </w:rPr>
        <w:t xml:space="preserve"> моментом</w:t>
      </w:r>
      <w:r w:rsidRPr="00DC6F20">
        <w:rPr>
          <w:rFonts w:ascii="Times New Roman" w:hAnsi="Times New Roman" w:cs="Times New Roman"/>
          <w:sz w:val="28"/>
          <w:szCs w:val="24"/>
        </w:rPr>
        <w:t xml:space="preserve"> </w:t>
      </w:r>
      <w:r w:rsidR="0078679E" w:rsidRPr="00DC6F20">
        <w:rPr>
          <w:rFonts w:ascii="Times New Roman" w:hAnsi="Times New Roman" w:cs="Times New Roman"/>
          <w:sz w:val="28"/>
          <w:szCs w:val="24"/>
        </w:rPr>
        <w:t>виникнення податкового</w:t>
      </w:r>
      <w:r w:rsidRPr="00DC6F20">
        <w:rPr>
          <w:rFonts w:ascii="Times New Roman" w:hAnsi="Times New Roman" w:cs="Times New Roman"/>
          <w:sz w:val="28"/>
          <w:szCs w:val="24"/>
        </w:rPr>
        <w:t xml:space="preserve"> зобов'язання з ПДВ </w:t>
      </w:r>
      <w:r w:rsidR="0078679E" w:rsidRPr="00DC6F20">
        <w:rPr>
          <w:rFonts w:ascii="Times New Roman" w:hAnsi="Times New Roman" w:cs="Times New Roman"/>
          <w:sz w:val="28"/>
          <w:szCs w:val="24"/>
        </w:rPr>
        <w:t xml:space="preserve">саме момент отримання платежу (див. </w:t>
      </w:r>
      <w:r w:rsidR="00932492">
        <w:rPr>
          <w:rFonts w:ascii="Times New Roman" w:hAnsi="Times New Roman" w:cs="Times New Roman"/>
          <w:sz w:val="28"/>
          <w:szCs w:val="24"/>
        </w:rPr>
        <w:t>Додаток 1 (</w:t>
      </w:r>
      <w:r w:rsidR="0078679E" w:rsidRPr="00DC6F20">
        <w:rPr>
          <w:rFonts w:ascii="Times New Roman" w:hAnsi="Times New Roman" w:cs="Times New Roman"/>
          <w:sz w:val="28"/>
          <w:szCs w:val="24"/>
        </w:rPr>
        <w:t>9</w:t>
      </w:r>
      <w:r w:rsidR="00932492">
        <w:rPr>
          <w:rFonts w:ascii="Times New Roman" w:hAnsi="Times New Roman" w:cs="Times New Roman"/>
          <w:sz w:val="28"/>
          <w:szCs w:val="24"/>
        </w:rPr>
        <w:t>)</w:t>
      </w:r>
      <w:r w:rsidR="006A38CC" w:rsidRPr="00DC6F20">
        <w:rPr>
          <w:rFonts w:ascii="Times New Roman" w:hAnsi="Times New Roman" w:cs="Times New Roman"/>
          <w:sz w:val="28"/>
          <w:szCs w:val="24"/>
        </w:rPr>
        <w:t xml:space="preserve"> та </w:t>
      </w:r>
      <w:r w:rsidR="00932492">
        <w:rPr>
          <w:rFonts w:ascii="Times New Roman" w:hAnsi="Times New Roman" w:cs="Times New Roman"/>
          <w:sz w:val="28"/>
          <w:szCs w:val="24"/>
        </w:rPr>
        <w:t>(</w:t>
      </w:r>
      <w:r w:rsidR="006A38CC" w:rsidRPr="00DC6F20">
        <w:rPr>
          <w:rFonts w:ascii="Times New Roman" w:hAnsi="Times New Roman" w:cs="Times New Roman"/>
          <w:sz w:val="28"/>
          <w:szCs w:val="24"/>
        </w:rPr>
        <w:t>10</w:t>
      </w:r>
      <w:r w:rsidR="00932492">
        <w:rPr>
          <w:rFonts w:ascii="Times New Roman" w:hAnsi="Times New Roman" w:cs="Times New Roman"/>
          <w:sz w:val="28"/>
          <w:szCs w:val="24"/>
        </w:rPr>
        <w:t>)</w:t>
      </w:r>
      <w:r w:rsidR="0078679E" w:rsidRPr="00DC6F20">
        <w:rPr>
          <w:rFonts w:ascii="Times New Roman" w:hAnsi="Times New Roman" w:cs="Times New Roman"/>
          <w:sz w:val="28"/>
          <w:szCs w:val="24"/>
        </w:rPr>
        <w:t>).</w:t>
      </w:r>
      <w:r w:rsidRPr="00DC6F20">
        <w:rPr>
          <w:rFonts w:ascii="Times New Roman" w:hAnsi="Times New Roman" w:cs="Times New Roman"/>
          <w:sz w:val="28"/>
          <w:szCs w:val="24"/>
        </w:rPr>
        <w:t xml:space="preserve"> </w:t>
      </w:r>
    </w:p>
    <w:p w:rsidR="00A55EE4" w:rsidRPr="00DC6F20" w:rsidRDefault="00A55EE4" w:rsidP="00E84946">
      <w:pPr>
        <w:spacing w:after="0"/>
        <w:jc w:val="both"/>
        <w:rPr>
          <w:rFonts w:ascii="Times New Roman" w:hAnsi="Times New Roman" w:cs="Times New Roman"/>
          <w:sz w:val="28"/>
          <w:szCs w:val="24"/>
        </w:rPr>
      </w:pPr>
      <w:r w:rsidRPr="00DC6F20">
        <w:rPr>
          <w:rFonts w:ascii="Times New Roman" w:hAnsi="Times New Roman" w:cs="Times New Roman"/>
          <w:sz w:val="28"/>
          <w:szCs w:val="24"/>
        </w:rPr>
        <w:t>Наступні країни імплементували</w:t>
      </w:r>
      <w:r w:rsidR="00D65D22" w:rsidRPr="00DC6F20">
        <w:rPr>
          <w:rFonts w:ascii="Times New Roman" w:hAnsi="Times New Roman" w:cs="Times New Roman"/>
          <w:sz w:val="28"/>
          <w:szCs w:val="24"/>
        </w:rPr>
        <w:t xml:space="preserve"> зазначені</w:t>
      </w:r>
      <w:r w:rsidRPr="00DC6F20">
        <w:rPr>
          <w:rFonts w:ascii="Times New Roman" w:hAnsi="Times New Roman" w:cs="Times New Roman"/>
          <w:sz w:val="28"/>
          <w:szCs w:val="24"/>
        </w:rPr>
        <w:t xml:space="preserve"> положення у своє національне законодавство:</w:t>
      </w:r>
    </w:p>
    <w:p w:rsidR="00DC6F20" w:rsidRDefault="00DC6F20" w:rsidP="00E84946">
      <w:pPr>
        <w:spacing w:after="0"/>
        <w:jc w:val="both"/>
        <w:rPr>
          <w:rFonts w:ascii="Times New Roman" w:hAnsi="Times New Roman" w:cs="Times New Roman"/>
          <w:b/>
          <w:sz w:val="28"/>
          <w:szCs w:val="24"/>
        </w:rPr>
      </w:pPr>
    </w:p>
    <w:p w:rsidR="00932492" w:rsidRDefault="00932492" w:rsidP="00E84946">
      <w:pPr>
        <w:spacing w:after="0"/>
        <w:jc w:val="both"/>
        <w:rPr>
          <w:rFonts w:ascii="Times New Roman" w:hAnsi="Times New Roman" w:cs="Times New Roman"/>
          <w:b/>
          <w:sz w:val="28"/>
          <w:szCs w:val="24"/>
        </w:rPr>
      </w:pPr>
    </w:p>
    <w:p w:rsidR="00A55EE4" w:rsidRPr="00DC6F20" w:rsidRDefault="00887B76" w:rsidP="00E84946">
      <w:pPr>
        <w:spacing w:after="0"/>
        <w:jc w:val="both"/>
        <w:rPr>
          <w:rFonts w:ascii="Times New Roman" w:hAnsi="Times New Roman" w:cs="Times New Roman"/>
          <w:sz w:val="28"/>
          <w:szCs w:val="24"/>
        </w:rPr>
      </w:pPr>
      <w:r w:rsidRPr="00DC6F20">
        <w:rPr>
          <w:rFonts w:ascii="Times New Roman" w:hAnsi="Times New Roman" w:cs="Times New Roman"/>
          <w:b/>
          <w:sz w:val="28"/>
          <w:szCs w:val="24"/>
        </w:rPr>
        <w:lastRenderedPageBreak/>
        <w:t>Польща</w:t>
      </w:r>
      <w:r w:rsidRPr="00DC6F20">
        <w:rPr>
          <w:rFonts w:ascii="Times New Roman" w:hAnsi="Times New Roman" w:cs="Times New Roman"/>
          <w:sz w:val="28"/>
          <w:szCs w:val="24"/>
        </w:rPr>
        <w:t xml:space="preserve"> </w:t>
      </w:r>
    </w:p>
    <w:p w:rsidR="00E84946" w:rsidRPr="00DC6F20" w:rsidRDefault="00E84946" w:rsidP="00E84946">
      <w:pPr>
        <w:spacing w:after="0"/>
        <w:jc w:val="both"/>
        <w:rPr>
          <w:rFonts w:ascii="Times New Roman" w:hAnsi="Times New Roman" w:cs="Times New Roman"/>
          <w:sz w:val="28"/>
          <w:szCs w:val="24"/>
        </w:rPr>
      </w:pPr>
      <w:r w:rsidRPr="00DC6F20">
        <w:rPr>
          <w:rFonts w:ascii="Times New Roman" w:hAnsi="Times New Roman" w:cs="Times New Roman"/>
          <w:sz w:val="28"/>
          <w:szCs w:val="24"/>
        </w:rPr>
        <w:t>Спеціальний режим сплати ПДВ компаніями малого бізнесу (відносяться компанії з обсягом продажів за попередній податковий рік до 1,2 млн. євро), яким передбачений механізм обчислення ПДВ за касовим методом (обчислення ПДВ проводиться на дату платежу, але не пізніше, ніж через 180 днів з моменту реалізації товарів або послуг; вирахування проводиться в кварталі сплати ПДВ по придбаних товарах або послуг, але не раніше дати, зазначеної в рахунку-фактурі або в митному документі), при цьому передбачена подача щоквартальної декларації з ПДВ)</w:t>
      </w:r>
      <w:r w:rsidRPr="00DC6F20">
        <w:rPr>
          <w:rStyle w:val="a7"/>
          <w:rFonts w:ascii="Times New Roman" w:hAnsi="Times New Roman" w:cs="Times New Roman"/>
          <w:sz w:val="28"/>
          <w:szCs w:val="24"/>
        </w:rPr>
        <w:footnoteReference w:id="2"/>
      </w:r>
      <w:r w:rsidRPr="00DC6F20">
        <w:rPr>
          <w:rFonts w:ascii="Times New Roman" w:hAnsi="Times New Roman" w:cs="Times New Roman"/>
          <w:sz w:val="28"/>
          <w:szCs w:val="24"/>
        </w:rPr>
        <w:t>.</w:t>
      </w:r>
    </w:p>
    <w:p w:rsidR="00DC6F20" w:rsidRDefault="00DC6F20" w:rsidP="00E56891">
      <w:pPr>
        <w:spacing w:after="0"/>
        <w:jc w:val="both"/>
        <w:rPr>
          <w:rFonts w:ascii="Times New Roman" w:hAnsi="Times New Roman" w:cs="Times New Roman"/>
          <w:b/>
          <w:sz w:val="28"/>
          <w:szCs w:val="24"/>
        </w:rPr>
      </w:pPr>
    </w:p>
    <w:p w:rsidR="00A55EE4" w:rsidRPr="00DC6F20" w:rsidRDefault="00A55EE4" w:rsidP="00E56891">
      <w:pPr>
        <w:spacing w:after="0"/>
        <w:jc w:val="both"/>
        <w:rPr>
          <w:rFonts w:ascii="Times New Roman" w:hAnsi="Times New Roman" w:cs="Times New Roman"/>
          <w:b/>
          <w:sz w:val="28"/>
          <w:szCs w:val="24"/>
        </w:rPr>
      </w:pPr>
      <w:r w:rsidRPr="00DC6F20">
        <w:rPr>
          <w:rFonts w:ascii="Times New Roman" w:hAnsi="Times New Roman" w:cs="Times New Roman"/>
          <w:b/>
          <w:sz w:val="28"/>
          <w:szCs w:val="24"/>
        </w:rPr>
        <w:t>Великобританія</w:t>
      </w:r>
    </w:p>
    <w:p w:rsidR="00A55EE4" w:rsidRPr="00DC6F20" w:rsidRDefault="00A55EE4" w:rsidP="00952ECC">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Законодавство пропонує </w:t>
      </w:r>
      <w:r w:rsidR="00952ECC" w:rsidRPr="00DC6F20">
        <w:rPr>
          <w:rFonts w:ascii="Times New Roman" w:hAnsi="Times New Roman" w:cs="Times New Roman"/>
          <w:sz w:val="28"/>
          <w:szCs w:val="24"/>
        </w:rPr>
        <w:t xml:space="preserve">платникам </w:t>
      </w:r>
      <w:r w:rsidRPr="00DC6F20">
        <w:rPr>
          <w:rFonts w:ascii="Times New Roman" w:hAnsi="Times New Roman" w:cs="Times New Roman"/>
          <w:sz w:val="28"/>
          <w:szCs w:val="24"/>
        </w:rPr>
        <w:t>окрему схему сплати податку під назвою VAT Cash Accounting Scheme</w:t>
      </w:r>
      <w:r w:rsidRPr="00DC6F20">
        <w:rPr>
          <w:rStyle w:val="a7"/>
          <w:rFonts w:ascii="Times New Roman" w:hAnsi="Times New Roman" w:cs="Times New Roman"/>
          <w:sz w:val="28"/>
          <w:szCs w:val="24"/>
        </w:rPr>
        <w:footnoteReference w:id="3"/>
      </w:r>
      <w:r w:rsidRPr="00DC6F20">
        <w:rPr>
          <w:rFonts w:ascii="Times New Roman" w:hAnsi="Times New Roman" w:cs="Times New Roman"/>
          <w:sz w:val="28"/>
          <w:szCs w:val="24"/>
        </w:rPr>
        <w:t xml:space="preserve">. </w:t>
      </w:r>
      <w:r w:rsidR="00952ECC" w:rsidRPr="00DC6F20">
        <w:rPr>
          <w:rFonts w:ascii="Times New Roman" w:hAnsi="Times New Roman" w:cs="Times New Roman"/>
          <w:sz w:val="28"/>
          <w:szCs w:val="24"/>
        </w:rPr>
        <w:t>Касовий метод обліку охоплює компанії які зареєстровані для цілей сплати ПДВ та мають оподатковуваний оборот меньш 1,35 млн. £ протягом останніх 12 місяців. Але, до використання касового методу не можуть бути залучено платників якими</w:t>
      </w:r>
      <w:r w:rsidR="00025245" w:rsidRPr="00DC6F20">
        <w:rPr>
          <w:rFonts w:ascii="Times New Roman" w:hAnsi="Times New Roman" w:cs="Times New Roman"/>
          <w:sz w:val="28"/>
          <w:szCs w:val="24"/>
        </w:rPr>
        <w:t xml:space="preserve"> </w:t>
      </w:r>
      <w:r w:rsidR="00952ECC" w:rsidRPr="00DC6F20">
        <w:rPr>
          <w:rFonts w:ascii="Times New Roman" w:hAnsi="Times New Roman" w:cs="Times New Roman"/>
          <w:sz w:val="28"/>
          <w:szCs w:val="24"/>
        </w:rPr>
        <w:t xml:space="preserve">допущено ухилення від сплати податку протягом 12 календарних місяців. </w:t>
      </w:r>
    </w:p>
    <w:p w:rsidR="00DC6F20" w:rsidRDefault="00DC6F20" w:rsidP="00B36A92">
      <w:pPr>
        <w:spacing w:after="0"/>
        <w:jc w:val="both"/>
        <w:rPr>
          <w:rFonts w:ascii="Times New Roman" w:hAnsi="Times New Roman" w:cs="Times New Roman"/>
          <w:b/>
          <w:sz w:val="28"/>
          <w:szCs w:val="24"/>
        </w:rPr>
      </w:pPr>
    </w:p>
    <w:p w:rsidR="00B36A92" w:rsidRPr="00DC6F20" w:rsidRDefault="00B36A92" w:rsidP="00B36A92">
      <w:pPr>
        <w:spacing w:after="0"/>
        <w:jc w:val="both"/>
        <w:rPr>
          <w:rFonts w:ascii="Times New Roman" w:hAnsi="Times New Roman" w:cs="Times New Roman"/>
          <w:b/>
          <w:sz w:val="28"/>
          <w:szCs w:val="24"/>
        </w:rPr>
      </w:pPr>
      <w:r w:rsidRPr="00DC6F20">
        <w:rPr>
          <w:rFonts w:ascii="Times New Roman" w:hAnsi="Times New Roman" w:cs="Times New Roman"/>
          <w:b/>
          <w:sz w:val="28"/>
          <w:szCs w:val="24"/>
        </w:rPr>
        <w:t>Ірландія</w:t>
      </w:r>
    </w:p>
    <w:p w:rsidR="00B36A92" w:rsidRPr="00DC6F20" w:rsidRDefault="002F4BCF" w:rsidP="00B36A92">
      <w:pPr>
        <w:spacing w:after="0"/>
        <w:jc w:val="both"/>
        <w:rPr>
          <w:rFonts w:ascii="Times New Roman" w:hAnsi="Times New Roman" w:cs="Times New Roman"/>
          <w:sz w:val="28"/>
          <w:szCs w:val="24"/>
        </w:rPr>
      </w:pPr>
      <w:r w:rsidRPr="00DC6F20">
        <w:rPr>
          <w:rFonts w:ascii="Times New Roman" w:hAnsi="Times New Roman" w:cs="Times New Roman"/>
          <w:sz w:val="28"/>
          <w:szCs w:val="24"/>
        </w:rPr>
        <w:t>Касовий метод обліку (так</w:t>
      </w:r>
      <w:r w:rsidR="00B36A92" w:rsidRPr="00DC6F20">
        <w:rPr>
          <w:rFonts w:ascii="Times New Roman" w:hAnsi="Times New Roman" w:cs="Times New Roman"/>
          <w:sz w:val="28"/>
          <w:szCs w:val="24"/>
        </w:rPr>
        <w:t xml:space="preserve"> званий </w:t>
      </w:r>
      <w:r w:rsidRPr="00DC6F20">
        <w:rPr>
          <w:rFonts w:ascii="Times New Roman" w:hAnsi="Times New Roman" w:cs="Times New Roman"/>
          <w:sz w:val="28"/>
          <w:szCs w:val="24"/>
        </w:rPr>
        <w:t>Cash Basis</w:t>
      </w:r>
      <w:r w:rsidRPr="00DC6F20">
        <w:rPr>
          <w:rStyle w:val="a7"/>
          <w:rFonts w:ascii="Times New Roman" w:hAnsi="Times New Roman" w:cs="Times New Roman"/>
          <w:sz w:val="28"/>
          <w:szCs w:val="24"/>
        </w:rPr>
        <w:footnoteReference w:id="4"/>
      </w:r>
      <w:r w:rsidR="00B36A92" w:rsidRPr="00DC6F20">
        <w:rPr>
          <w:rFonts w:ascii="Times New Roman" w:hAnsi="Times New Roman" w:cs="Times New Roman"/>
          <w:sz w:val="28"/>
          <w:szCs w:val="24"/>
        </w:rPr>
        <w:t>)</w:t>
      </w:r>
      <w:r w:rsidRPr="00DC6F20">
        <w:rPr>
          <w:rFonts w:ascii="Times New Roman" w:hAnsi="Times New Roman" w:cs="Times New Roman"/>
          <w:sz w:val="28"/>
          <w:szCs w:val="24"/>
        </w:rPr>
        <w:t xml:space="preserve"> застосовується до платників за умови дотримання од</w:t>
      </w:r>
      <w:r w:rsidR="00B36A92" w:rsidRPr="00DC6F20">
        <w:rPr>
          <w:rFonts w:ascii="Times New Roman" w:hAnsi="Times New Roman" w:cs="Times New Roman"/>
          <w:sz w:val="28"/>
          <w:szCs w:val="24"/>
        </w:rPr>
        <w:t>н</w:t>
      </w:r>
      <w:r w:rsidRPr="00DC6F20">
        <w:rPr>
          <w:rFonts w:ascii="Times New Roman" w:hAnsi="Times New Roman" w:cs="Times New Roman"/>
          <w:sz w:val="28"/>
          <w:szCs w:val="24"/>
        </w:rPr>
        <w:t>ого з двох критеріїв: річний оборот не перевищує</w:t>
      </w:r>
      <w:r w:rsidR="00B36A92" w:rsidRPr="00DC6F20">
        <w:rPr>
          <w:rFonts w:ascii="Times New Roman" w:hAnsi="Times New Roman" w:cs="Times New Roman"/>
          <w:sz w:val="28"/>
          <w:szCs w:val="24"/>
        </w:rPr>
        <w:t xml:space="preserve"> 2</w:t>
      </w:r>
      <w:r w:rsidRPr="00DC6F20">
        <w:rPr>
          <w:rFonts w:ascii="Times New Roman" w:hAnsi="Times New Roman" w:cs="Times New Roman"/>
          <w:sz w:val="28"/>
          <w:szCs w:val="24"/>
        </w:rPr>
        <w:t xml:space="preserve"> млн. євро або не меньш 90%</w:t>
      </w:r>
      <w:r w:rsidR="00B36A92" w:rsidRPr="00DC6F20">
        <w:rPr>
          <w:rFonts w:ascii="Times New Roman" w:hAnsi="Times New Roman" w:cs="Times New Roman"/>
          <w:sz w:val="28"/>
          <w:szCs w:val="24"/>
        </w:rPr>
        <w:t xml:space="preserve"> припадає на покупців, які н</w:t>
      </w:r>
      <w:r w:rsidRPr="00DC6F20">
        <w:rPr>
          <w:rFonts w:ascii="Times New Roman" w:hAnsi="Times New Roman" w:cs="Times New Roman"/>
          <w:sz w:val="28"/>
          <w:szCs w:val="24"/>
        </w:rPr>
        <w:t>е зареєстровані як платники ПДВ</w:t>
      </w:r>
      <w:r w:rsidR="00B36A92" w:rsidRPr="00DC6F20">
        <w:rPr>
          <w:rFonts w:ascii="Times New Roman" w:hAnsi="Times New Roman" w:cs="Times New Roman"/>
          <w:sz w:val="28"/>
          <w:szCs w:val="24"/>
        </w:rPr>
        <w:t xml:space="preserve"> або не мають права пре</w:t>
      </w:r>
      <w:r w:rsidRPr="00DC6F20">
        <w:rPr>
          <w:rFonts w:ascii="Times New Roman" w:hAnsi="Times New Roman" w:cs="Times New Roman"/>
          <w:sz w:val="28"/>
          <w:szCs w:val="24"/>
        </w:rPr>
        <w:t xml:space="preserve">тендувати на відшкодування податку. </w:t>
      </w:r>
      <w:r w:rsidR="00B36A92" w:rsidRPr="00DC6F20">
        <w:rPr>
          <w:rFonts w:ascii="Times New Roman" w:hAnsi="Times New Roman" w:cs="Times New Roman"/>
          <w:sz w:val="28"/>
          <w:szCs w:val="24"/>
        </w:rPr>
        <w:t xml:space="preserve">На практиці, касовим методом обліку </w:t>
      </w:r>
      <w:r w:rsidRPr="00DC6F20">
        <w:rPr>
          <w:rFonts w:ascii="Times New Roman" w:hAnsi="Times New Roman" w:cs="Times New Roman"/>
          <w:sz w:val="28"/>
          <w:szCs w:val="24"/>
        </w:rPr>
        <w:t>користуються магазини, ресторани</w:t>
      </w:r>
      <w:r w:rsidR="00B36A92" w:rsidRPr="00DC6F20">
        <w:rPr>
          <w:rFonts w:ascii="Times New Roman" w:hAnsi="Times New Roman" w:cs="Times New Roman"/>
          <w:sz w:val="28"/>
          <w:szCs w:val="24"/>
        </w:rPr>
        <w:t>, г</w:t>
      </w:r>
      <w:r w:rsidRPr="00DC6F20">
        <w:rPr>
          <w:rFonts w:ascii="Times New Roman" w:hAnsi="Times New Roman" w:cs="Times New Roman"/>
          <w:sz w:val="28"/>
          <w:szCs w:val="24"/>
        </w:rPr>
        <w:t>ромадськи будівлі, а також платники</w:t>
      </w:r>
      <w:r w:rsidR="00B36A92" w:rsidRPr="00DC6F20">
        <w:rPr>
          <w:rFonts w:ascii="Times New Roman" w:hAnsi="Times New Roman" w:cs="Times New Roman"/>
          <w:sz w:val="28"/>
          <w:szCs w:val="24"/>
        </w:rPr>
        <w:t xml:space="preserve">, що </w:t>
      </w:r>
      <w:r w:rsidRPr="00DC6F20">
        <w:rPr>
          <w:rFonts w:ascii="Times New Roman" w:hAnsi="Times New Roman" w:cs="Times New Roman"/>
          <w:sz w:val="28"/>
          <w:szCs w:val="24"/>
        </w:rPr>
        <w:t>реалізують товари</w:t>
      </w:r>
      <w:r w:rsidR="00B36A92" w:rsidRPr="00DC6F20">
        <w:rPr>
          <w:rFonts w:ascii="Times New Roman" w:hAnsi="Times New Roman" w:cs="Times New Roman"/>
          <w:sz w:val="28"/>
          <w:szCs w:val="24"/>
        </w:rPr>
        <w:t xml:space="preserve"> або послуг</w:t>
      </w:r>
      <w:r w:rsidRPr="00DC6F20">
        <w:rPr>
          <w:rFonts w:ascii="Times New Roman" w:hAnsi="Times New Roman" w:cs="Times New Roman"/>
          <w:sz w:val="28"/>
          <w:szCs w:val="24"/>
        </w:rPr>
        <w:t>и</w:t>
      </w:r>
      <w:r w:rsidR="00B36A92" w:rsidRPr="00DC6F20">
        <w:rPr>
          <w:rFonts w:ascii="Times New Roman" w:hAnsi="Times New Roman" w:cs="Times New Roman"/>
          <w:sz w:val="28"/>
          <w:szCs w:val="24"/>
        </w:rPr>
        <w:t xml:space="preserve"> безпосередньо населенню.</w:t>
      </w:r>
    </w:p>
    <w:p w:rsidR="00B36A92" w:rsidRPr="00DC6F20" w:rsidRDefault="00156DB5" w:rsidP="00E56891">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Слід зазначити, що </w:t>
      </w:r>
      <w:r w:rsidRPr="00DC6F20">
        <w:rPr>
          <w:rFonts w:ascii="Times New Roman" w:hAnsi="Times New Roman" w:cs="Times New Roman"/>
          <w:b/>
          <w:sz w:val="28"/>
          <w:szCs w:val="24"/>
        </w:rPr>
        <w:t>Щвеція</w:t>
      </w:r>
      <w:r w:rsidRPr="00DC6F20">
        <w:rPr>
          <w:rFonts w:ascii="Times New Roman" w:hAnsi="Times New Roman" w:cs="Times New Roman"/>
          <w:sz w:val="28"/>
          <w:szCs w:val="24"/>
        </w:rPr>
        <w:t xml:space="preserve"> також має механізм сплати ПДВ на основі касового методу (так званий Bokslutsmetoden</w:t>
      </w:r>
      <w:r w:rsidRPr="00DC6F20">
        <w:rPr>
          <w:rStyle w:val="a7"/>
          <w:rFonts w:ascii="Times New Roman" w:hAnsi="Times New Roman" w:cs="Times New Roman"/>
          <w:sz w:val="28"/>
          <w:szCs w:val="24"/>
        </w:rPr>
        <w:footnoteReference w:id="5"/>
      </w:r>
      <w:r w:rsidRPr="00DC6F20">
        <w:rPr>
          <w:rFonts w:ascii="Times New Roman" w:hAnsi="Times New Roman" w:cs="Times New Roman"/>
          <w:sz w:val="28"/>
          <w:szCs w:val="24"/>
        </w:rPr>
        <w:t>) для малого бізнесу.</w:t>
      </w:r>
    </w:p>
    <w:p w:rsidR="00DC6F20" w:rsidRDefault="00DC6F20" w:rsidP="00E56891">
      <w:pPr>
        <w:spacing w:after="0"/>
        <w:jc w:val="both"/>
        <w:rPr>
          <w:rFonts w:ascii="Times New Roman" w:hAnsi="Times New Roman" w:cs="Times New Roman"/>
          <w:b/>
          <w:sz w:val="28"/>
          <w:szCs w:val="24"/>
        </w:rPr>
      </w:pPr>
    </w:p>
    <w:p w:rsidR="00DD7E7D" w:rsidRPr="00DC6F20" w:rsidRDefault="008250EB" w:rsidP="00E56891">
      <w:pPr>
        <w:spacing w:after="0"/>
        <w:jc w:val="both"/>
        <w:rPr>
          <w:rFonts w:ascii="Times New Roman" w:hAnsi="Times New Roman" w:cs="Times New Roman"/>
          <w:sz w:val="28"/>
          <w:szCs w:val="24"/>
        </w:rPr>
      </w:pPr>
      <w:r w:rsidRPr="00DC6F20">
        <w:rPr>
          <w:rFonts w:ascii="Times New Roman" w:hAnsi="Times New Roman" w:cs="Times New Roman"/>
          <w:b/>
          <w:sz w:val="28"/>
          <w:szCs w:val="24"/>
        </w:rPr>
        <w:lastRenderedPageBreak/>
        <w:t>Болгарія</w:t>
      </w:r>
      <w:r w:rsidR="00DD7E7D" w:rsidRPr="00DC6F20">
        <w:rPr>
          <w:rFonts w:ascii="Times New Roman" w:hAnsi="Times New Roman" w:cs="Times New Roman"/>
          <w:b/>
          <w:sz w:val="28"/>
          <w:szCs w:val="24"/>
        </w:rPr>
        <w:t xml:space="preserve"> </w:t>
      </w:r>
      <w:r w:rsidR="00DD7E7D" w:rsidRPr="00DC6F20">
        <w:rPr>
          <w:rFonts w:ascii="Times New Roman" w:hAnsi="Times New Roman" w:cs="Times New Roman"/>
          <w:sz w:val="28"/>
          <w:szCs w:val="24"/>
        </w:rPr>
        <w:t>та</w:t>
      </w:r>
      <w:r w:rsidR="0056626D" w:rsidRPr="00DC6F20">
        <w:rPr>
          <w:rFonts w:ascii="Times New Roman" w:hAnsi="Times New Roman" w:cs="Times New Roman"/>
          <w:b/>
          <w:sz w:val="28"/>
          <w:szCs w:val="24"/>
        </w:rPr>
        <w:t xml:space="preserve"> </w:t>
      </w:r>
      <w:r w:rsidR="003C0CBD" w:rsidRPr="00DC6F20">
        <w:rPr>
          <w:rFonts w:ascii="Times New Roman" w:hAnsi="Times New Roman" w:cs="Times New Roman"/>
          <w:b/>
          <w:sz w:val="28"/>
          <w:szCs w:val="24"/>
        </w:rPr>
        <w:t>Угорщина</w:t>
      </w:r>
      <w:r w:rsidR="000205FD" w:rsidRPr="00DC6F20">
        <w:rPr>
          <w:sz w:val="28"/>
          <w:szCs w:val="24"/>
        </w:rPr>
        <w:t xml:space="preserve"> </w:t>
      </w:r>
      <w:r w:rsidR="000205FD" w:rsidRPr="00DC6F20">
        <w:rPr>
          <w:rFonts w:ascii="Times New Roman" w:hAnsi="Times New Roman" w:cs="Times New Roman"/>
          <w:sz w:val="28"/>
          <w:szCs w:val="24"/>
        </w:rPr>
        <w:t xml:space="preserve">не застосовують спеціальних схем сплати ПДВ за касовим методом, окрім </w:t>
      </w:r>
      <w:r w:rsidRPr="00DC6F20">
        <w:rPr>
          <w:rFonts w:ascii="Times New Roman" w:hAnsi="Times New Roman" w:cs="Times New Roman"/>
          <w:sz w:val="28"/>
          <w:szCs w:val="24"/>
        </w:rPr>
        <w:t xml:space="preserve">обчислення ПДВ </w:t>
      </w:r>
      <w:r w:rsidR="00BC3623" w:rsidRPr="00DC6F20">
        <w:rPr>
          <w:rFonts w:ascii="Times New Roman" w:hAnsi="Times New Roman" w:cs="Times New Roman"/>
          <w:sz w:val="28"/>
          <w:szCs w:val="24"/>
        </w:rPr>
        <w:t>за принципом маржинального доходу</w:t>
      </w:r>
      <w:r w:rsidR="00E56891" w:rsidRPr="00DC6F20">
        <w:rPr>
          <w:rFonts w:ascii="Times New Roman" w:hAnsi="Times New Roman" w:cs="Times New Roman"/>
          <w:sz w:val="28"/>
          <w:szCs w:val="24"/>
        </w:rPr>
        <w:t xml:space="preserve"> </w:t>
      </w:r>
      <w:r w:rsidR="000205FD" w:rsidRPr="00DC6F20">
        <w:rPr>
          <w:rFonts w:ascii="Times New Roman" w:hAnsi="Times New Roman" w:cs="Times New Roman"/>
          <w:sz w:val="28"/>
          <w:szCs w:val="24"/>
        </w:rPr>
        <w:t xml:space="preserve">(оподаткуванню підлягає </w:t>
      </w:r>
      <w:r w:rsidR="00E56891" w:rsidRPr="00DC6F20">
        <w:rPr>
          <w:rFonts w:ascii="Times New Roman" w:hAnsi="Times New Roman" w:cs="Times New Roman"/>
          <w:sz w:val="28"/>
          <w:szCs w:val="24"/>
        </w:rPr>
        <w:t>різниця між ціною продажу і ціною придбання</w:t>
      </w:r>
      <w:r w:rsidRPr="00DC6F20">
        <w:rPr>
          <w:rFonts w:ascii="Times New Roman" w:hAnsi="Times New Roman" w:cs="Times New Roman"/>
          <w:sz w:val="28"/>
          <w:szCs w:val="24"/>
        </w:rPr>
        <w:t>) при наданні послуг туристам та при поставці вживаних товарів.</w:t>
      </w:r>
      <w:r w:rsidR="00025245" w:rsidRPr="00DC6F20">
        <w:rPr>
          <w:rFonts w:ascii="Times New Roman" w:hAnsi="Times New Roman" w:cs="Times New Roman"/>
          <w:sz w:val="28"/>
          <w:szCs w:val="24"/>
        </w:rPr>
        <w:t xml:space="preserve"> </w:t>
      </w:r>
      <w:r w:rsidR="00DD7E7D" w:rsidRPr="00DC6F20">
        <w:rPr>
          <w:rFonts w:ascii="Times New Roman" w:hAnsi="Times New Roman" w:cs="Times New Roman"/>
          <w:b/>
          <w:sz w:val="28"/>
          <w:szCs w:val="24"/>
        </w:rPr>
        <w:t xml:space="preserve">Бразилія </w:t>
      </w:r>
      <w:r w:rsidR="00DD7E7D" w:rsidRPr="00DC6F20">
        <w:rPr>
          <w:rFonts w:ascii="Times New Roman" w:hAnsi="Times New Roman" w:cs="Times New Roman"/>
          <w:sz w:val="28"/>
          <w:szCs w:val="24"/>
        </w:rPr>
        <w:t>та</w:t>
      </w:r>
      <w:r w:rsidR="00DD7E7D" w:rsidRPr="00DC6F20">
        <w:rPr>
          <w:rFonts w:ascii="Times New Roman" w:hAnsi="Times New Roman" w:cs="Times New Roman"/>
          <w:b/>
          <w:sz w:val="28"/>
          <w:szCs w:val="24"/>
        </w:rPr>
        <w:t xml:space="preserve"> Південно-африканська республіка</w:t>
      </w:r>
      <w:r w:rsidR="00DD7E7D" w:rsidRPr="00DC6F20">
        <w:rPr>
          <w:rFonts w:ascii="Times New Roman" w:hAnsi="Times New Roman" w:cs="Times New Roman"/>
          <w:sz w:val="28"/>
          <w:szCs w:val="24"/>
        </w:rPr>
        <w:t xml:space="preserve"> також не застосовують касовий метод сплати ПДВ.</w:t>
      </w:r>
    </w:p>
    <w:p w:rsidR="00932492" w:rsidRDefault="00932492" w:rsidP="00E56891">
      <w:pPr>
        <w:spacing w:after="0"/>
        <w:jc w:val="both"/>
        <w:rPr>
          <w:rFonts w:ascii="Times New Roman" w:hAnsi="Times New Roman" w:cs="Times New Roman"/>
          <w:b/>
          <w:sz w:val="28"/>
          <w:szCs w:val="24"/>
        </w:rPr>
      </w:pPr>
    </w:p>
    <w:p w:rsidR="00AE7D27" w:rsidRPr="00DC6F20" w:rsidRDefault="00AE7D27" w:rsidP="00E56891">
      <w:pPr>
        <w:spacing w:after="0"/>
        <w:jc w:val="both"/>
        <w:rPr>
          <w:rFonts w:ascii="Times New Roman" w:hAnsi="Times New Roman" w:cs="Times New Roman"/>
          <w:b/>
          <w:sz w:val="28"/>
          <w:szCs w:val="24"/>
        </w:rPr>
      </w:pPr>
      <w:r w:rsidRPr="00DC6F20">
        <w:rPr>
          <w:rFonts w:ascii="Times New Roman" w:hAnsi="Times New Roman" w:cs="Times New Roman"/>
          <w:b/>
          <w:sz w:val="28"/>
          <w:szCs w:val="24"/>
        </w:rPr>
        <w:t>Висновок: застосування касового методу сплати ПДВ є поширеною європейською практикою.</w:t>
      </w:r>
    </w:p>
    <w:p w:rsidR="00025245" w:rsidRPr="00DC6F20" w:rsidRDefault="00025245" w:rsidP="006A38CC">
      <w:pPr>
        <w:spacing w:after="0"/>
        <w:ind w:right="-31"/>
        <w:jc w:val="right"/>
        <w:rPr>
          <w:rFonts w:ascii="Times New Roman" w:hAnsi="Times New Roman" w:cs="Times New Roman"/>
          <w:sz w:val="24"/>
          <w:szCs w:val="24"/>
        </w:rPr>
      </w:pPr>
    </w:p>
    <w:p w:rsidR="00DC6F20" w:rsidRPr="00DC6F20" w:rsidRDefault="00DC6F20" w:rsidP="00DC6F20">
      <w:pPr>
        <w:spacing w:after="0"/>
        <w:ind w:right="-31"/>
        <w:jc w:val="right"/>
        <w:rPr>
          <w:rFonts w:ascii="Times New Roman" w:hAnsi="Times New Roman" w:cs="Times New Roman"/>
          <w:sz w:val="24"/>
          <w:szCs w:val="24"/>
        </w:rPr>
      </w:pPr>
    </w:p>
    <w:p w:rsidR="00DC6F20" w:rsidRPr="00DC6F20" w:rsidRDefault="00DC6F20" w:rsidP="00DC6F20">
      <w:pPr>
        <w:spacing w:after="0"/>
        <w:ind w:right="-31"/>
        <w:jc w:val="right"/>
        <w:rPr>
          <w:rFonts w:ascii="Times New Roman" w:hAnsi="Times New Roman" w:cs="Times New Roman"/>
          <w:b/>
          <w:sz w:val="28"/>
          <w:szCs w:val="24"/>
        </w:rPr>
      </w:pPr>
      <w:r w:rsidRPr="00DC6F20">
        <w:rPr>
          <w:rFonts w:ascii="Times New Roman" w:hAnsi="Times New Roman" w:cs="Times New Roman"/>
          <w:b/>
          <w:sz w:val="28"/>
          <w:szCs w:val="24"/>
        </w:rPr>
        <w:t>Таблиця 1</w:t>
      </w:r>
    </w:p>
    <w:p w:rsidR="00DC6F20" w:rsidRPr="00DC6F20" w:rsidRDefault="00DC6F20" w:rsidP="00DC6F20">
      <w:pPr>
        <w:spacing w:after="0"/>
        <w:rPr>
          <w:rFonts w:ascii="Times New Roman" w:hAnsi="Times New Roman" w:cs="Times New Roman"/>
          <w:b/>
          <w:sz w:val="24"/>
          <w:szCs w:val="24"/>
        </w:rPr>
      </w:pPr>
    </w:p>
    <w:tbl>
      <w:tblPr>
        <w:tblW w:w="148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4"/>
        <w:gridCol w:w="1576"/>
        <w:gridCol w:w="1431"/>
        <w:gridCol w:w="1432"/>
        <w:gridCol w:w="1431"/>
        <w:gridCol w:w="1289"/>
        <w:gridCol w:w="1576"/>
        <w:gridCol w:w="1718"/>
        <w:gridCol w:w="2005"/>
      </w:tblGrid>
      <w:tr w:rsidR="00DC6F20" w:rsidRPr="00DC6F20" w:rsidTr="00D75A90">
        <w:trPr>
          <w:trHeight w:val="533"/>
          <w:tblHeader/>
        </w:trPr>
        <w:tc>
          <w:tcPr>
            <w:tcW w:w="2434" w:type="dxa"/>
            <w:tcBorders>
              <w:top w:val="single" w:sz="6" w:space="0" w:color="auto"/>
              <w:left w:val="single" w:sz="6" w:space="0" w:color="auto"/>
              <w:bottom w:val="single" w:sz="6" w:space="0" w:color="FFFFFF"/>
              <w:right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Критерій порівняння</w:t>
            </w:r>
          </w:p>
        </w:tc>
        <w:tc>
          <w:tcPr>
            <w:tcW w:w="1576" w:type="dxa"/>
            <w:tcBorders>
              <w:top w:val="single" w:sz="6" w:space="0" w:color="auto"/>
              <w:left w:val="single" w:sz="4" w:space="0" w:color="FFFFFF"/>
              <w:right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Україна</w:t>
            </w:r>
          </w:p>
        </w:tc>
        <w:tc>
          <w:tcPr>
            <w:tcW w:w="1431" w:type="dxa"/>
            <w:tcBorders>
              <w:top w:val="single" w:sz="6" w:space="0" w:color="auto"/>
              <w:left w:val="single" w:sz="4" w:space="0" w:color="FFFFFF"/>
              <w:right w:val="single" w:sz="4" w:space="0" w:color="FFFFFF"/>
            </w:tcBorders>
            <w:shd w:val="pct75" w:color="auto" w:fill="auto"/>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Болгарія</w:t>
            </w:r>
          </w:p>
        </w:tc>
        <w:tc>
          <w:tcPr>
            <w:tcW w:w="1432" w:type="dxa"/>
            <w:tcBorders>
              <w:top w:val="single" w:sz="6" w:space="0" w:color="auto"/>
              <w:left w:val="single" w:sz="4" w:space="0" w:color="FFFFFF"/>
              <w:right w:val="single" w:sz="4" w:space="0" w:color="FFFFFF"/>
            </w:tcBorders>
            <w:shd w:val="pct75" w:color="auto" w:fill="auto"/>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Польща</w:t>
            </w:r>
          </w:p>
        </w:tc>
        <w:tc>
          <w:tcPr>
            <w:tcW w:w="1431" w:type="dxa"/>
            <w:tcBorders>
              <w:top w:val="single" w:sz="6" w:space="0" w:color="auto"/>
              <w:left w:val="single" w:sz="4" w:space="0" w:color="FFFFFF"/>
              <w:right w:val="single" w:sz="4" w:space="0" w:color="FFFFFF"/>
            </w:tcBorders>
            <w:shd w:val="pct75" w:color="auto" w:fill="auto"/>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Ірландія</w:t>
            </w:r>
          </w:p>
        </w:tc>
        <w:tc>
          <w:tcPr>
            <w:tcW w:w="1289" w:type="dxa"/>
            <w:tcBorders>
              <w:top w:val="single" w:sz="6" w:space="0" w:color="auto"/>
              <w:left w:val="single" w:sz="4" w:space="0" w:color="FFFFFF"/>
              <w:right w:val="single" w:sz="4" w:space="0" w:color="FFFFFF"/>
            </w:tcBorders>
            <w:shd w:val="pct75" w:color="auto" w:fill="auto"/>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Угорщина</w:t>
            </w:r>
          </w:p>
        </w:tc>
        <w:tc>
          <w:tcPr>
            <w:tcW w:w="1576" w:type="dxa"/>
            <w:tcBorders>
              <w:top w:val="single" w:sz="6" w:space="0" w:color="auto"/>
              <w:left w:val="single" w:sz="4" w:space="0" w:color="FFFFFF"/>
              <w:right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Calibri" w:hAnsi="Times New Roman" w:cs="Times New Roman"/>
                <w:b/>
                <w:color w:val="FFFFFF"/>
                <w:sz w:val="18"/>
                <w:szCs w:val="14"/>
              </w:rPr>
            </w:pPr>
            <w:r w:rsidRPr="00DC6F20">
              <w:rPr>
                <w:rFonts w:ascii="Times New Roman" w:eastAsia="Calibri" w:hAnsi="Times New Roman" w:cs="Times New Roman"/>
                <w:b/>
                <w:color w:val="FFFFFF"/>
                <w:sz w:val="18"/>
                <w:szCs w:val="14"/>
              </w:rPr>
              <w:t>Великобританія</w:t>
            </w:r>
          </w:p>
        </w:tc>
        <w:tc>
          <w:tcPr>
            <w:tcW w:w="1718" w:type="dxa"/>
            <w:tcBorders>
              <w:top w:val="single" w:sz="6" w:space="0" w:color="auto"/>
              <w:left w:val="single" w:sz="4" w:space="0" w:color="FFFFFF"/>
              <w:right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widowControl w:val="0"/>
              <w:autoSpaceDE w:val="0"/>
              <w:autoSpaceDN w:val="0"/>
              <w:adjustRightInd w:val="0"/>
              <w:spacing w:after="0" w:line="280" w:lineRule="atLeast"/>
              <w:jc w:val="center"/>
              <w:rPr>
                <w:rFonts w:ascii="Times New Roman" w:eastAsia="Arial Unicode MS" w:hAnsi="Times New Roman" w:cs="Times New Roman"/>
                <w:b/>
                <w:color w:val="FFFFFF"/>
                <w:sz w:val="18"/>
                <w:szCs w:val="14"/>
              </w:rPr>
            </w:pPr>
            <w:r w:rsidRPr="00DC6F20">
              <w:rPr>
                <w:rFonts w:ascii="Times New Roman" w:eastAsia="Calibri" w:hAnsi="Times New Roman" w:cs="Times New Roman"/>
                <w:b/>
                <w:color w:val="FFFFFF"/>
                <w:sz w:val="18"/>
                <w:szCs w:val="14"/>
              </w:rPr>
              <w:t>Бразилія</w:t>
            </w:r>
            <w:r w:rsidRPr="00DC6F20">
              <w:rPr>
                <w:rFonts w:ascii="Times New Roman" w:eastAsia="Arial Unicode MS" w:hAnsi="Times New Roman" w:cs="Times New Roman"/>
                <w:b/>
                <w:color w:val="FFFFFF"/>
                <w:position w:val="6"/>
                <w:sz w:val="18"/>
                <w:szCs w:val="14"/>
                <w:vertAlign w:val="superscript"/>
              </w:rPr>
              <w:footnoteReference w:id="6"/>
            </w:r>
          </w:p>
        </w:tc>
        <w:tc>
          <w:tcPr>
            <w:tcW w:w="2005" w:type="dxa"/>
            <w:tcBorders>
              <w:top w:val="single" w:sz="6" w:space="0" w:color="auto"/>
              <w:left w:val="single" w:sz="4" w:space="0" w:color="FFFFFF"/>
              <w:right w:val="single" w:sz="6" w:space="0" w:color="auto"/>
            </w:tcBorders>
            <w:shd w:val="clear" w:color="auto" w:fill="404040"/>
            <w:tcMar>
              <w:top w:w="28" w:type="dxa"/>
              <w:left w:w="28" w:type="dxa"/>
              <w:bottom w:w="28" w:type="dxa"/>
              <w:right w:w="28" w:type="dxa"/>
            </w:tcMar>
            <w:vAlign w:val="center"/>
          </w:tcPr>
          <w:p w:rsidR="00DC6F20" w:rsidRPr="00DC6F20" w:rsidRDefault="00DC6F20" w:rsidP="00D75A90">
            <w:pPr>
              <w:spacing w:after="0" w:line="240" w:lineRule="auto"/>
              <w:jc w:val="center"/>
              <w:rPr>
                <w:rFonts w:ascii="Times New Roman" w:eastAsia="Arial Unicode MS" w:hAnsi="Times New Roman" w:cs="Times New Roman"/>
                <w:b/>
                <w:color w:val="FFFFFF"/>
                <w:sz w:val="18"/>
                <w:szCs w:val="14"/>
              </w:rPr>
            </w:pPr>
            <w:r w:rsidRPr="00DC6F20">
              <w:rPr>
                <w:rFonts w:ascii="Times New Roman" w:eastAsia="Calibri" w:hAnsi="Times New Roman" w:cs="Times New Roman"/>
                <w:b/>
                <w:color w:val="FFFFFF"/>
                <w:sz w:val="18"/>
                <w:szCs w:val="14"/>
              </w:rPr>
              <w:t>Південно-африканська республіка</w:t>
            </w:r>
          </w:p>
        </w:tc>
      </w:tr>
      <w:tr w:rsidR="00DC6F20" w:rsidRPr="00DC6F20" w:rsidTr="00D75A90">
        <w:trPr>
          <w:trHeight w:val="464"/>
        </w:trPr>
        <w:tc>
          <w:tcPr>
            <w:tcW w:w="2434" w:type="dxa"/>
            <w:tcBorders>
              <w:top w:val="single" w:sz="6" w:space="0" w:color="FFFFFF"/>
              <w:left w:val="single" w:sz="6" w:space="0" w:color="auto"/>
              <w:bottom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Використання ПДВ</w:t>
            </w:r>
            <w:r w:rsidRPr="00DC6F20">
              <w:rPr>
                <w:rStyle w:val="a7"/>
                <w:rFonts w:ascii="Times New Roman" w:eastAsia="Calibri" w:hAnsi="Times New Roman" w:cs="Times New Roman"/>
                <w:color w:val="FFFFFF"/>
                <w:sz w:val="18"/>
                <w:szCs w:val="14"/>
              </w:rPr>
              <w:footnoteReference w:id="7"/>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(Податок на додану вартість)</w:t>
            </w:r>
          </w:p>
        </w:tc>
        <w:tc>
          <w:tcPr>
            <w:tcW w:w="1431"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(Value-added tax)</w:t>
            </w:r>
          </w:p>
        </w:tc>
        <w:tc>
          <w:tcPr>
            <w:tcW w:w="1432"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(o podatku od towarów i usług)</w:t>
            </w:r>
          </w:p>
        </w:tc>
        <w:tc>
          <w:tcPr>
            <w:tcW w:w="1431"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(Taxa pe valoarea adaugata)</w:t>
            </w:r>
          </w:p>
        </w:tc>
        <w:tc>
          <w:tcPr>
            <w:tcW w:w="1289"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(Altalanos forgalmi ado)</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(Value-added tax)</w:t>
            </w:r>
          </w:p>
        </w:tc>
        <w:tc>
          <w:tcPr>
            <w:tcW w:w="1718"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4 типу 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(ICMS, IPI, ISS, PIS, COFINS)</w:t>
            </w:r>
          </w:p>
        </w:tc>
        <w:tc>
          <w:tcPr>
            <w:tcW w:w="2005" w:type="dxa"/>
            <w:tcBorders>
              <w:right w:val="single" w:sz="6" w:space="0" w:color="auto"/>
            </w:tcBorders>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ПДВ</w:t>
            </w:r>
          </w:p>
          <w:p w:rsidR="00DC6F20" w:rsidRPr="00DC6F20" w:rsidRDefault="00DC6F20" w:rsidP="00D75A90">
            <w:pPr>
              <w:spacing w:after="0" w:line="140" w:lineRule="exact"/>
              <w:jc w:val="center"/>
              <w:rPr>
                <w:rFonts w:ascii="Times New Roman" w:eastAsia="Calibri" w:hAnsi="Times New Roman" w:cs="Times New Roman"/>
                <w:sz w:val="18"/>
                <w:szCs w:val="14"/>
              </w:rPr>
            </w:pPr>
            <w:r w:rsidRPr="00DC6F20">
              <w:rPr>
                <w:rFonts w:ascii="Times New Roman" w:eastAsia="Calibri" w:hAnsi="Times New Roman" w:cs="Times New Roman"/>
                <w:sz w:val="18"/>
                <w:szCs w:val="14"/>
              </w:rPr>
              <w:t>(Value-added tax)</w:t>
            </w:r>
          </w:p>
        </w:tc>
      </w:tr>
      <w:tr w:rsidR="00DC6F20" w:rsidRPr="00DC6F20" w:rsidTr="00D75A90">
        <w:trPr>
          <w:trHeight w:val="616"/>
        </w:trPr>
        <w:tc>
          <w:tcPr>
            <w:tcW w:w="2434" w:type="dxa"/>
            <w:tcBorders>
              <w:top w:val="single" w:sz="4" w:space="0" w:color="FFFFFF"/>
              <w:left w:val="single" w:sz="6" w:space="0" w:color="auto"/>
              <w:bottom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 xml:space="preserve">Місце реалізації товарів </w:t>
            </w:r>
          </w:p>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(загальне правило)</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початку поставки</w:t>
            </w:r>
          </w:p>
        </w:tc>
        <w:tc>
          <w:tcPr>
            <w:tcW w:w="1431"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переходу права власності</w:t>
            </w:r>
          </w:p>
        </w:tc>
        <w:tc>
          <w:tcPr>
            <w:tcW w:w="1432"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початку поставки</w:t>
            </w:r>
          </w:p>
        </w:tc>
        <w:tc>
          <w:tcPr>
            <w:tcW w:w="1431"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початку поставки</w:t>
            </w:r>
          </w:p>
        </w:tc>
        <w:tc>
          <w:tcPr>
            <w:tcW w:w="1289"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початку поставки</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знаходження товарів в момент початку поставки</w:t>
            </w:r>
          </w:p>
        </w:tc>
        <w:tc>
          <w:tcPr>
            <w:tcW w:w="1718"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Місце виробництва товару</w:t>
            </w:r>
          </w:p>
        </w:tc>
        <w:tc>
          <w:tcPr>
            <w:tcW w:w="2005" w:type="dxa"/>
            <w:tcBorders>
              <w:right w:val="single" w:sz="6" w:space="0" w:color="auto"/>
            </w:tcBorders>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Правила визначення місця реалізації товарів не встановлені</w:t>
            </w:r>
          </w:p>
        </w:tc>
      </w:tr>
      <w:tr w:rsidR="00DC6F20" w:rsidRPr="00DC6F20" w:rsidTr="00D75A90">
        <w:trPr>
          <w:trHeight w:val="1632"/>
        </w:trPr>
        <w:tc>
          <w:tcPr>
            <w:tcW w:w="2434" w:type="dxa"/>
            <w:tcBorders>
              <w:top w:val="single" w:sz="4" w:space="0" w:color="FFFFFF"/>
              <w:left w:val="single" w:sz="6" w:space="0" w:color="auto"/>
              <w:bottom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 xml:space="preserve">Місце реалізації послуг </w:t>
            </w:r>
          </w:p>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(загальне правило)</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реєстрації постачальника послуг</w:t>
            </w:r>
          </w:p>
        </w:tc>
        <w:tc>
          <w:tcPr>
            <w:tcW w:w="7159" w:type="dxa"/>
            <w:gridSpan w:val="5"/>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Реалізація послуг покупцеві - платнику податків в Європейському союзі: за місцем знаходження покупця; реалізація послуг покупців - не платнику податків в Європейському союзі: за місцем перебування продавця</w:t>
            </w:r>
          </w:p>
        </w:tc>
        <w:tc>
          <w:tcPr>
            <w:tcW w:w="1718"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місцем реєстрації постачальника послуг. (Правило визначення місця реалізації послуг не може бути застосовано для федерального податку, оскільки він нараховується на реалізацію товару)</w:t>
            </w:r>
          </w:p>
        </w:tc>
        <w:tc>
          <w:tcPr>
            <w:tcW w:w="2005" w:type="dxa"/>
            <w:tcBorders>
              <w:right w:val="single" w:sz="6" w:space="0" w:color="auto"/>
            </w:tcBorders>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Правила визначення місця реализации услуг не встановлен</w:t>
            </w:r>
          </w:p>
        </w:tc>
      </w:tr>
      <w:tr w:rsidR="00DC6F20" w:rsidRPr="00DC6F20" w:rsidTr="00D75A90">
        <w:trPr>
          <w:trHeight w:val="217"/>
        </w:trPr>
        <w:tc>
          <w:tcPr>
            <w:tcW w:w="2434" w:type="dxa"/>
            <w:tcBorders>
              <w:top w:val="single" w:sz="4" w:space="0" w:color="FFFFFF"/>
              <w:left w:val="single" w:sz="6" w:space="0" w:color="auto"/>
              <w:bottom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t>Момент виникнення податкових зобов'язань  обчислення податкової бази поПДВ (загальне правило)</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За «правилом першої події» (дата зарахування коштів від покупця на банківський рахунок постачальника або дата відвантаження товарів / оформлення документа, що підтверджує факт поставки послуг)</w:t>
            </w:r>
          </w:p>
        </w:tc>
        <w:tc>
          <w:tcPr>
            <w:tcW w:w="1431"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По товарах - в момент переходу права власності на товар;</w:t>
            </w:r>
          </w:p>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по послугах - в момент, коли послуги надані</w:t>
            </w:r>
          </w:p>
        </w:tc>
        <w:tc>
          <w:tcPr>
            <w:tcW w:w="1432"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Перша подія: або дата рахунку або по товарах - в момент постачання, передачі, обміну, дарування товарів, по послугах - в момент, коли послуги надані</w:t>
            </w:r>
          </w:p>
        </w:tc>
        <w:tc>
          <w:tcPr>
            <w:tcW w:w="1431"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Перша подія: або дата поставки товару, надання послуги, або дата рахунку, або дата авансового платежу</w:t>
            </w:r>
          </w:p>
        </w:tc>
        <w:tc>
          <w:tcPr>
            <w:tcW w:w="1289" w:type="dxa"/>
            <w:shd w:val="clear" w:color="auto" w:fill="auto"/>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По товарах - в момент передачі права власності на товар, по послугах - в момент надання послуги</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Перша подія: або дата поставки товару, надання послуги, або дата рахунку, або дата авансового платежу</w:t>
            </w:r>
          </w:p>
        </w:tc>
        <w:tc>
          <w:tcPr>
            <w:tcW w:w="1718"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У момент поставки товарів</w:t>
            </w:r>
          </w:p>
        </w:tc>
        <w:tc>
          <w:tcPr>
            <w:tcW w:w="2005" w:type="dxa"/>
            <w:tcBorders>
              <w:right w:val="single" w:sz="6" w:space="0" w:color="auto"/>
            </w:tcBorders>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Перша подія: або дата випуску рахунку, або дата отримання платежу</w:t>
            </w:r>
          </w:p>
        </w:tc>
      </w:tr>
      <w:tr w:rsidR="00DC6F20" w:rsidRPr="00DC6F20" w:rsidTr="00D75A90">
        <w:trPr>
          <w:trHeight w:val="1632"/>
        </w:trPr>
        <w:tc>
          <w:tcPr>
            <w:tcW w:w="2434" w:type="dxa"/>
            <w:tcBorders>
              <w:top w:val="single" w:sz="4" w:space="0" w:color="FFFFFF"/>
              <w:left w:val="single" w:sz="6" w:space="0" w:color="auto"/>
              <w:bottom w:val="single" w:sz="4" w:space="0" w:color="FFFFFF"/>
            </w:tcBorders>
            <w:shd w:val="clear" w:color="auto" w:fill="404040"/>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color w:val="FFFFFF"/>
                <w:sz w:val="18"/>
                <w:szCs w:val="14"/>
              </w:rPr>
            </w:pPr>
            <w:r w:rsidRPr="00DC6F20">
              <w:rPr>
                <w:rFonts w:ascii="Times New Roman" w:eastAsia="Calibri" w:hAnsi="Times New Roman" w:cs="Times New Roman"/>
                <w:color w:val="FFFFFF"/>
                <w:sz w:val="18"/>
                <w:szCs w:val="14"/>
              </w:rPr>
              <w:lastRenderedPageBreak/>
              <w:t>Можливість виникнення податкових зобов'язань за касовим методом</w:t>
            </w:r>
          </w:p>
        </w:tc>
        <w:tc>
          <w:tcPr>
            <w:tcW w:w="1576"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Діє касовий метод для цілей оподаткування ПДВ</w:t>
            </w:r>
          </w:p>
        </w:tc>
        <w:tc>
          <w:tcPr>
            <w:tcW w:w="7159" w:type="dxa"/>
            <w:gridSpan w:val="5"/>
            <w:shd w:val="clear" w:color="auto" w:fill="auto"/>
            <w:tcMar>
              <w:top w:w="28" w:type="dxa"/>
              <w:left w:w="28" w:type="dxa"/>
              <w:bottom w:w="28" w:type="dxa"/>
              <w:right w:w="28" w:type="dxa"/>
            </w:tcMar>
            <w:vAlign w:val="center"/>
          </w:tcPr>
          <w:p w:rsidR="00DC6F20" w:rsidRPr="00DC6F20" w:rsidRDefault="00DC6F20" w:rsidP="00D75A90">
            <w:pPr>
              <w:spacing w:after="0" w:line="140" w:lineRule="exact"/>
              <w:ind w:left="99" w:right="113"/>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Діє касовий метод</w:t>
            </w:r>
          </w:p>
          <w:p w:rsidR="00DC6F20" w:rsidRPr="00DC6F20" w:rsidRDefault="00DC6F20" w:rsidP="00D75A90">
            <w:pPr>
              <w:spacing w:after="0" w:line="140" w:lineRule="exact"/>
              <w:ind w:left="99" w:right="113"/>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 xml:space="preserve">у Європейському союзі держави-члени можуть встановлювати, що податкове зобов'язання з ПДВ може виникати не пізніше моменту отримання платежу </w:t>
            </w:r>
            <w:r w:rsidRPr="00DC6F20">
              <w:rPr>
                <w:rFonts w:ascii="Times New Roman" w:eastAsia="Calibri" w:hAnsi="Times New Roman" w:cs="Times New Roman"/>
                <w:b/>
                <w:sz w:val="18"/>
                <w:szCs w:val="16"/>
                <w:u w:val="single"/>
              </w:rPr>
              <w:t>за певними операціями або для певних категорій платників податку</w:t>
            </w:r>
            <w:r w:rsidRPr="00DC6F20">
              <w:rPr>
                <w:rStyle w:val="a7"/>
                <w:rFonts w:ascii="Times New Roman" w:eastAsia="Calibri" w:hAnsi="Times New Roman" w:cs="Times New Roman"/>
                <w:sz w:val="18"/>
                <w:szCs w:val="16"/>
              </w:rPr>
              <w:footnoteReference w:id="8"/>
            </w:r>
            <w:r w:rsidRPr="00DC6F20">
              <w:rPr>
                <w:rFonts w:ascii="Times New Roman" w:eastAsia="Calibri" w:hAnsi="Times New Roman" w:cs="Times New Roman"/>
                <w:sz w:val="18"/>
                <w:szCs w:val="16"/>
              </w:rPr>
              <w:t xml:space="preserve"> </w:t>
            </w:r>
          </w:p>
          <w:p w:rsidR="00DC6F20" w:rsidRPr="00DC6F20" w:rsidRDefault="00DC6F20" w:rsidP="00D75A90">
            <w:pPr>
              <w:spacing w:after="0" w:line="140" w:lineRule="exact"/>
              <w:ind w:left="99" w:right="113"/>
              <w:jc w:val="center"/>
              <w:rPr>
                <w:rFonts w:ascii="Times New Roman" w:eastAsia="Calibri" w:hAnsi="Times New Roman" w:cs="Times New Roman"/>
                <w:sz w:val="18"/>
                <w:szCs w:val="16"/>
              </w:rPr>
            </w:pPr>
          </w:p>
        </w:tc>
        <w:tc>
          <w:tcPr>
            <w:tcW w:w="1718" w:type="dxa"/>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Не передбачено</w:t>
            </w:r>
          </w:p>
        </w:tc>
        <w:tc>
          <w:tcPr>
            <w:tcW w:w="2005" w:type="dxa"/>
            <w:tcBorders>
              <w:right w:val="single" w:sz="6" w:space="0" w:color="auto"/>
            </w:tcBorders>
            <w:tcMar>
              <w:top w:w="28" w:type="dxa"/>
              <w:left w:w="28" w:type="dxa"/>
              <w:bottom w:w="28" w:type="dxa"/>
              <w:right w:w="28" w:type="dxa"/>
            </w:tcMar>
            <w:vAlign w:val="center"/>
          </w:tcPr>
          <w:p w:rsidR="00DC6F20" w:rsidRPr="00DC6F20" w:rsidRDefault="00DC6F20" w:rsidP="00D75A90">
            <w:pPr>
              <w:spacing w:after="0" w:line="140" w:lineRule="exact"/>
              <w:jc w:val="center"/>
              <w:rPr>
                <w:rFonts w:ascii="Times New Roman" w:eastAsia="Calibri" w:hAnsi="Times New Roman" w:cs="Times New Roman"/>
                <w:sz w:val="18"/>
                <w:szCs w:val="16"/>
              </w:rPr>
            </w:pPr>
            <w:r w:rsidRPr="00DC6F20">
              <w:rPr>
                <w:rFonts w:ascii="Times New Roman" w:eastAsia="Calibri" w:hAnsi="Times New Roman" w:cs="Times New Roman"/>
                <w:sz w:val="18"/>
                <w:szCs w:val="16"/>
              </w:rPr>
              <w:t>Не передбачено</w:t>
            </w:r>
          </w:p>
        </w:tc>
      </w:tr>
    </w:tbl>
    <w:p w:rsidR="00DC6F20" w:rsidRPr="00DC6F20" w:rsidRDefault="00DC6F20" w:rsidP="00DC6F20">
      <w:pPr>
        <w:spacing w:after="0"/>
        <w:jc w:val="both"/>
        <w:rPr>
          <w:rFonts w:ascii="Times New Roman" w:hAnsi="Times New Roman" w:cs="Times New Roman"/>
          <w:sz w:val="24"/>
          <w:szCs w:val="24"/>
        </w:rPr>
      </w:pPr>
    </w:p>
    <w:p w:rsidR="000F38B5" w:rsidRPr="00DC6F20" w:rsidRDefault="000F38B5" w:rsidP="006A38CC">
      <w:pPr>
        <w:spacing w:after="0"/>
        <w:ind w:right="-31"/>
        <w:jc w:val="right"/>
        <w:rPr>
          <w:rFonts w:ascii="Times New Roman" w:hAnsi="Times New Roman" w:cs="Times New Roman"/>
          <w:sz w:val="24"/>
          <w:szCs w:val="24"/>
        </w:rPr>
      </w:pPr>
    </w:p>
    <w:p w:rsidR="000F38B5" w:rsidRPr="00DC6F20" w:rsidRDefault="000F38B5" w:rsidP="006A38CC">
      <w:pPr>
        <w:spacing w:after="0"/>
        <w:ind w:right="-31"/>
        <w:jc w:val="right"/>
        <w:rPr>
          <w:rFonts w:ascii="Times New Roman" w:hAnsi="Times New Roman" w:cs="Times New Roman"/>
          <w:sz w:val="24"/>
          <w:szCs w:val="24"/>
        </w:rPr>
      </w:pPr>
    </w:p>
    <w:p w:rsidR="000F38B5" w:rsidRPr="00DC6F20" w:rsidRDefault="000F38B5" w:rsidP="006A38CC">
      <w:pPr>
        <w:spacing w:after="0"/>
        <w:ind w:right="-31"/>
        <w:jc w:val="right"/>
        <w:rPr>
          <w:rFonts w:ascii="Times New Roman" w:hAnsi="Times New Roman" w:cs="Times New Roman"/>
          <w:sz w:val="24"/>
          <w:szCs w:val="24"/>
        </w:rPr>
      </w:pPr>
    </w:p>
    <w:p w:rsidR="000F38B5" w:rsidRPr="00DC6F20" w:rsidRDefault="000F38B5" w:rsidP="006A38CC">
      <w:pPr>
        <w:spacing w:after="0"/>
        <w:ind w:right="-31"/>
        <w:jc w:val="right"/>
        <w:rPr>
          <w:rFonts w:ascii="Times New Roman" w:hAnsi="Times New Roman" w:cs="Times New Roman"/>
          <w:sz w:val="24"/>
          <w:szCs w:val="24"/>
        </w:rPr>
      </w:pPr>
    </w:p>
    <w:p w:rsidR="00777FEA" w:rsidRPr="00DC6F20" w:rsidRDefault="00777FEA" w:rsidP="00777FEA">
      <w:pPr>
        <w:spacing w:after="0"/>
        <w:jc w:val="both"/>
        <w:rPr>
          <w:rFonts w:ascii="Times New Roman" w:hAnsi="Times New Roman" w:cs="Times New Roman"/>
          <w:b/>
          <w:sz w:val="28"/>
          <w:szCs w:val="24"/>
          <w:u w:val="single"/>
        </w:rPr>
      </w:pPr>
      <w:r w:rsidRPr="00DC6F20">
        <w:rPr>
          <w:rFonts w:ascii="Times New Roman" w:hAnsi="Times New Roman" w:cs="Times New Roman"/>
          <w:b/>
          <w:sz w:val="28"/>
          <w:szCs w:val="24"/>
          <w:u w:val="single"/>
        </w:rPr>
        <w:t xml:space="preserve">3. </w:t>
      </w:r>
      <w:r w:rsidR="00DC6F20">
        <w:rPr>
          <w:rFonts w:ascii="Times New Roman" w:hAnsi="Times New Roman" w:cs="Times New Roman"/>
          <w:b/>
          <w:sz w:val="28"/>
          <w:szCs w:val="24"/>
          <w:u w:val="single"/>
        </w:rPr>
        <w:t>Аналіз а</w:t>
      </w:r>
      <w:r w:rsidRPr="00DC6F20">
        <w:rPr>
          <w:rFonts w:ascii="Times New Roman" w:hAnsi="Times New Roman" w:cs="Times New Roman"/>
          <w:b/>
          <w:sz w:val="28"/>
          <w:szCs w:val="24"/>
          <w:u w:val="single"/>
        </w:rPr>
        <w:t>льтернатив</w:t>
      </w:r>
    </w:p>
    <w:p w:rsidR="00E64822" w:rsidRPr="00DC6F20" w:rsidRDefault="00E64822" w:rsidP="00777FEA">
      <w:pPr>
        <w:spacing w:after="0"/>
        <w:jc w:val="both"/>
        <w:rPr>
          <w:rFonts w:ascii="Times New Roman" w:hAnsi="Times New Roman" w:cs="Times New Roman"/>
          <w:sz w:val="18"/>
          <w:szCs w:val="24"/>
          <w:u w:val="single"/>
        </w:rPr>
      </w:pPr>
    </w:p>
    <w:p w:rsidR="00777FEA" w:rsidRPr="00DC6F20" w:rsidRDefault="000B697E" w:rsidP="00777FEA">
      <w:pPr>
        <w:spacing w:after="0"/>
        <w:jc w:val="both"/>
        <w:rPr>
          <w:rFonts w:ascii="Times New Roman" w:hAnsi="Times New Roman" w:cs="Times New Roman"/>
          <w:sz w:val="28"/>
          <w:szCs w:val="24"/>
        </w:rPr>
      </w:pPr>
      <w:r w:rsidRPr="00DC6F20">
        <w:rPr>
          <w:rFonts w:ascii="Times New Roman" w:hAnsi="Times New Roman" w:cs="Times New Roman"/>
          <w:b/>
          <w:sz w:val="28"/>
          <w:szCs w:val="24"/>
          <w:u w:val="single"/>
        </w:rPr>
        <w:t>Варіант</w:t>
      </w:r>
      <w:r w:rsidR="00696553" w:rsidRPr="00DC6F20">
        <w:rPr>
          <w:rFonts w:ascii="Times New Roman" w:hAnsi="Times New Roman" w:cs="Times New Roman"/>
          <w:b/>
          <w:sz w:val="28"/>
          <w:szCs w:val="24"/>
          <w:u w:val="single"/>
        </w:rPr>
        <w:t xml:space="preserve"> 1</w:t>
      </w:r>
      <w:r w:rsidRPr="00DC6F20">
        <w:rPr>
          <w:rFonts w:ascii="Times New Roman" w:hAnsi="Times New Roman" w:cs="Times New Roman"/>
          <w:sz w:val="28"/>
          <w:szCs w:val="24"/>
        </w:rPr>
        <w:t>: в</w:t>
      </w:r>
      <w:r w:rsidR="00777FEA" w:rsidRPr="00DC6F20">
        <w:rPr>
          <w:rFonts w:ascii="Times New Roman" w:hAnsi="Times New Roman" w:cs="Times New Roman"/>
          <w:sz w:val="28"/>
          <w:szCs w:val="24"/>
        </w:rPr>
        <w:t xml:space="preserve">ідмова від загального правила «першої події» та </w:t>
      </w:r>
      <w:r w:rsidR="00696553" w:rsidRPr="00DC6F20">
        <w:rPr>
          <w:rFonts w:ascii="Times New Roman" w:hAnsi="Times New Roman" w:cs="Times New Roman"/>
          <w:sz w:val="28"/>
          <w:szCs w:val="24"/>
        </w:rPr>
        <w:t xml:space="preserve">суцільний </w:t>
      </w:r>
      <w:r w:rsidR="00777FEA" w:rsidRPr="00DC6F20">
        <w:rPr>
          <w:rFonts w:ascii="Times New Roman" w:hAnsi="Times New Roman" w:cs="Times New Roman"/>
          <w:sz w:val="28"/>
          <w:szCs w:val="24"/>
        </w:rPr>
        <w:t>перехід до касового методу нарахування (сплати)</w:t>
      </w:r>
      <w:r w:rsidR="00696553" w:rsidRPr="00DC6F20">
        <w:rPr>
          <w:rFonts w:ascii="Times New Roman" w:hAnsi="Times New Roman" w:cs="Times New Roman"/>
          <w:sz w:val="28"/>
          <w:szCs w:val="24"/>
        </w:rPr>
        <w:t xml:space="preserve"> податку на додану вартість</w:t>
      </w:r>
    </w:p>
    <w:p w:rsidR="000B697E" w:rsidRPr="00DC6F20" w:rsidRDefault="00777FEA" w:rsidP="00777FEA">
      <w:pPr>
        <w:spacing w:after="0"/>
        <w:jc w:val="both"/>
        <w:rPr>
          <w:rFonts w:ascii="Times New Roman" w:hAnsi="Times New Roman" w:cs="Times New Roman"/>
          <w:sz w:val="28"/>
          <w:szCs w:val="24"/>
        </w:rPr>
      </w:pPr>
      <w:r w:rsidRPr="00DC6F20">
        <w:rPr>
          <w:rFonts w:ascii="Times New Roman" w:hAnsi="Times New Roman" w:cs="Times New Roman"/>
          <w:b/>
          <w:sz w:val="32"/>
          <w:szCs w:val="24"/>
        </w:rPr>
        <w:t>Є несприйнятним</w:t>
      </w:r>
      <w:r w:rsidRPr="00DC6F20">
        <w:rPr>
          <w:rFonts w:ascii="Times New Roman" w:hAnsi="Times New Roman" w:cs="Times New Roman"/>
          <w:sz w:val="28"/>
          <w:szCs w:val="24"/>
        </w:rPr>
        <w:t xml:space="preserve"> з урахуванням</w:t>
      </w:r>
      <w:r w:rsidR="000B697E" w:rsidRPr="00DC6F20">
        <w:rPr>
          <w:rFonts w:ascii="Times New Roman" w:hAnsi="Times New Roman" w:cs="Times New Roman"/>
          <w:sz w:val="28"/>
          <w:szCs w:val="24"/>
        </w:rPr>
        <w:t xml:space="preserve"> наступних чинніків:</w:t>
      </w:r>
      <w:r w:rsidRPr="00DC6F20">
        <w:rPr>
          <w:rFonts w:ascii="Times New Roman" w:hAnsi="Times New Roman" w:cs="Times New Roman"/>
          <w:sz w:val="28"/>
          <w:szCs w:val="24"/>
        </w:rPr>
        <w:t xml:space="preserve"> </w:t>
      </w:r>
    </w:p>
    <w:p w:rsidR="000B697E" w:rsidRPr="00DC6F20" w:rsidRDefault="000B697E" w:rsidP="00777FEA">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(а) негативний історичний національний </w:t>
      </w:r>
      <w:r w:rsidR="0063148B" w:rsidRPr="00DC6F20">
        <w:rPr>
          <w:rFonts w:ascii="Times New Roman" w:hAnsi="Times New Roman" w:cs="Times New Roman"/>
          <w:sz w:val="28"/>
          <w:szCs w:val="24"/>
        </w:rPr>
        <w:t>досвід:</w:t>
      </w:r>
      <w:r w:rsidRPr="00DC6F20">
        <w:rPr>
          <w:rFonts w:ascii="Times New Roman" w:hAnsi="Times New Roman" w:cs="Times New Roman"/>
          <w:sz w:val="28"/>
          <w:szCs w:val="24"/>
        </w:rPr>
        <w:t xml:space="preserve"> провальні наслідки застосування аналогічної практики на Україні у період 1993-1997 рр., що призвела до бартерізації економіки та масштабного кризису нерозрахунків з метою несплати податку до бюджету; </w:t>
      </w:r>
    </w:p>
    <w:p w:rsidR="00874DFA" w:rsidRPr="00DC6F20" w:rsidRDefault="000B697E" w:rsidP="00777FEA">
      <w:pPr>
        <w:spacing w:after="0"/>
        <w:jc w:val="both"/>
        <w:rPr>
          <w:rFonts w:ascii="Times New Roman" w:hAnsi="Times New Roman" w:cs="Times New Roman"/>
          <w:sz w:val="28"/>
          <w:szCs w:val="24"/>
        </w:rPr>
      </w:pPr>
      <w:r w:rsidRPr="00DC6F20">
        <w:rPr>
          <w:rFonts w:ascii="Times New Roman" w:hAnsi="Times New Roman" w:cs="Times New Roman"/>
          <w:sz w:val="28"/>
          <w:szCs w:val="24"/>
        </w:rPr>
        <w:t>(б) касовий метод нарахування ПДВ передбачає можливість не сплати по</w:t>
      </w:r>
      <w:r w:rsidR="00874DFA" w:rsidRPr="00DC6F20">
        <w:rPr>
          <w:rFonts w:ascii="Times New Roman" w:hAnsi="Times New Roman" w:cs="Times New Roman"/>
          <w:sz w:val="28"/>
          <w:szCs w:val="24"/>
        </w:rPr>
        <w:t>датку до бюджету доки кошти не потрапили</w:t>
      </w:r>
      <w:r w:rsidRPr="00DC6F20">
        <w:rPr>
          <w:rFonts w:ascii="Times New Roman" w:hAnsi="Times New Roman" w:cs="Times New Roman"/>
          <w:sz w:val="28"/>
          <w:szCs w:val="24"/>
        </w:rPr>
        <w:t xml:space="preserve"> </w:t>
      </w:r>
      <w:r w:rsidR="00874DFA" w:rsidRPr="00DC6F20">
        <w:rPr>
          <w:rFonts w:ascii="Times New Roman" w:hAnsi="Times New Roman" w:cs="Times New Roman"/>
          <w:sz w:val="28"/>
          <w:szCs w:val="24"/>
        </w:rPr>
        <w:t>на банківський рахунок (у касу), що, у разі поширення на всіх платників податку, дозволяє мінімізувати податкові зобов'язання з ПДВ шляхом умисної затримки розрахунків. У масштабах економіки створюється потенційна «чорна фіскальна дира» у десятк</w:t>
      </w:r>
      <w:r w:rsidR="00DC6F20">
        <w:rPr>
          <w:rFonts w:ascii="Times New Roman" w:hAnsi="Times New Roman" w:cs="Times New Roman"/>
          <w:sz w:val="28"/>
          <w:szCs w:val="24"/>
        </w:rPr>
        <w:t>и</w:t>
      </w:r>
      <w:r w:rsidR="00874DFA" w:rsidRPr="00DC6F20">
        <w:rPr>
          <w:rFonts w:ascii="Times New Roman" w:hAnsi="Times New Roman" w:cs="Times New Roman"/>
          <w:sz w:val="28"/>
          <w:szCs w:val="24"/>
        </w:rPr>
        <w:t xml:space="preserve"> мільярдів гривень, яка немінуче призведе до колапсу бюджетної системи;</w:t>
      </w:r>
    </w:p>
    <w:p w:rsidR="00777FEA" w:rsidRPr="00DC6F20" w:rsidRDefault="00874DFA" w:rsidP="00777FEA">
      <w:pPr>
        <w:spacing w:after="0"/>
        <w:jc w:val="both"/>
        <w:rPr>
          <w:rFonts w:ascii="Times New Roman" w:hAnsi="Times New Roman" w:cs="Times New Roman"/>
          <w:sz w:val="28"/>
          <w:szCs w:val="24"/>
        </w:rPr>
      </w:pPr>
      <w:r w:rsidRPr="00DC6F20">
        <w:rPr>
          <w:rFonts w:ascii="Times New Roman" w:hAnsi="Times New Roman" w:cs="Times New Roman"/>
          <w:sz w:val="28"/>
          <w:szCs w:val="24"/>
        </w:rPr>
        <w:t xml:space="preserve">(в) відмова від правила «першої події» не відповідає acquis ЄС, </w:t>
      </w:r>
      <w:r w:rsidR="0063148B" w:rsidRPr="00DC6F20">
        <w:rPr>
          <w:rFonts w:ascii="Times New Roman" w:hAnsi="Times New Roman" w:cs="Times New Roman"/>
          <w:sz w:val="28"/>
          <w:szCs w:val="24"/>
        </w:rPr>
        <w:t>зокрема</w:t>
      </w:r>
      <w:r w:rsidRPr="00DC6F20">
        <w:rPr>
          <w:rFonts w:ascii="Times New Roman" w:hAnsi="Times New Roman" w:cs="Times New Roman"/>
          <w:sz w:val="28"/>
          <w:szCs w:val="24"/>
        </w:rPr>
        <w:t xml:space="preserve"> </w:t>
      </w:r>
      <w:r w:rsidR="0063148B" w:rsidRPr="00DC6F20">
        <w:rPr>
          <w:rFonts w:ascii="Times New Roman" w:hAnsi="Times New Roman" w:cs="Times New Roman"/>
          <w:sz w:val="28"/>
          <w:szCs w:val="24"/>
        </w:rPr>
        <w:t xml:space="preserve">Директиві Ради 2006/112/ЄС про спільну систему податку на додану вартість від 28 листопада 2006 року, </w:t>
      </w:r>
      <w:r w:rsidRPr="00DC6F20">
        <w:rPr>
          <w:rFonts w:ascii="Times New Roman" w:hAnsi="Times New Roman" w:cs="Times New Roman"/>
          <w:sz w:val="28"/>
          <w:szCs w:val="24"/>
        </w:rPr>
        <w:t>та вступає у конфлікт із Угодою про асоціацію між Україною та Європейським Союзом</w:t>
      </w:r>
      <w:r w:rsidR="0063148B" w:rsidRPr="00DC6F20">
        <w:rPr>
          <w:rFonts w:ascii="Times New Roman" w:hAnsi="Times New Roman" w:cs="Times New Roman"/>
          <w:sz w:val="28"/>
          <w:szCs w:val="24"/>
        </w:rPr>
        <w:t>.</w:t>
      </w:r>
      <w:r w:rsidR="000B697E" w:rsidRPr="00DC6F20">
        <w:rPr>
          <w:rFonts w:ascii="Times New Roman" w:hAnsi="Times New Roman" w:cs="Times New Roman"/>
          <w:sz w:val="28"/>
          <w:szCs w:val="24"/>
        </w:rPr>
        <w:t xml:space="preserve"> </w:t>
      </w:r>
    </w:p>
    <w:p w:rsidR="00E64822" w:rsidRPr="00DC6F20" w:rsidRDefault="00E64822" w:rsidP="00696553">
      <w:pPr>
        <w:spacing w:after="0"/>
        <w:jc w:val="both"/>
        <w:rPr>
          <w:rFonts w:ascii="Times New Roman" w:hAnsi="Times New Roman" w:cs="Times New Roman"/>
          <w:sz w:val="18"/>
          <w:szCs w:val="24"/>
          <w:u w:val="single"/>
        </w:rPr>
      </w:pPr>
    </w:p>
    <w:p w:rsidR="00696553" w:rsidRPr="00DC6F20" w:rsidRDefault="00696553" w:rsidP="00696553">
      <w:pPr>
        <w:spacing w:after="0"/>
        <w:jc w:val="both"/>
        <w:rPr>
          <w:rFonts w:ascii="Times New Roman" w:hAnsi="Times New Roman" w:cs="Times New Roman"/>
          <w:sz w:val="28"/>
          <w:szCs w:val="24"/>
        </w:rPr>
      </w:pPr>
      <w:r w:rsidRPr="00DC6F20">
        <w:rPr>
          <w:rFonts w:ascii="Times New Roman" w:hAnsi="Times New Roman" w:cs="Times New Roman"/>
          <w:b/>
          <w:sz w:val="28"/>
          <w:szCs w:val="24"/>
          <w:u w:val="single"/>
        </w:rPr>
        <w:lastRenderedPageBreak/>
        <w:t>Варіант 2</w:t>
      </w:r>
      <w:r w:rsidRPr="00DC6F20">
        <w:rPr>
          <w:rFonts w:ascii="Times New Roman" w:hAnsi="Times New Roman" w:cs="Times New Roman"/>
          <w:sz w:val="28"/>
          <w:szCs w:val="24"/>
        </w:rPr>
        <w:t>: перехід до касового методу нарахування (сплати) податку на додану вартість для певних категорій платників, наприклад МСП з обсягом річного доходу до 3-5 млн. гривень</w:t>
      </w:r>
    </w:p>
    <w:p w:rsidR="00696553" w:rsidRPr="00DC6F20" w:rsidRDefault="00696553" w:rsidP="00696553">
      <w:pPr>
        <w:spacing w:after="0"/>
        <w:jc w:val="both"/>
        <w:rPr>
          <w:rFonts w:ascii="Times New Roman" w:hAnsi="Times New Roman" w:cs="Times New Roman"/>
          <w:sz w:val="28"/>
          <w:szCs w:val="24"/>
        </w:rPr>
      </w:pPr>
      <w:r w:rsidRPr="00DC6F20">
        <w:rPr>
          <w:rFonts w:ascii="Times New Roman" w:hAnsi="Times New Roman" w:cs="Times New Roman"/>
          <w:b/>
          <w:sz w:val="32"/>
          <w:szCs w:val="24"/>
        </w:rPr>
        <w:t>Є можливим</w:t>
      </w:r>
      <w:r w:rsidRPr="00DC6F20">
        <w:rPr>
          <w:rFonts w:ascii="Times New Roman" w:hAnsi="Times New Roman" w:cs="Times New Roman"/>
          <w:sz w:val="28"/>
          <w:szCs w:val="24"/>
        </w:rPr>
        <w:t xml:space="preserve">, з огляду на загальноєвропейську практику, але залишаються ризики використання касового методу нарахування ПДВ у вигляді схеми податкового планування </w:t>
      </w:r>
      <w:r w:rsidR="00E64822" w:rsidRPr="00DC6F20">
        <w:rPr>
          <w:rFonts w:ascii="Times New Roman" w:hAnsi="Times New Roman" w:cs="Times New Roman"/>
          <w:sz w:val="28"/>
          <w:szCs w:val="24"/>
        </w:rPr>
        <w:t>(</w:t>
      </w:r>
      <w:r w:rsidRPr="00DC6F20">
        <w:rPr>
          <w:rFonts w:ascii="Times New Roman" w:hAnsi="Times New Roman" w:cs="Times New Roman"/>
          <w:sz w:val="28"/>
          <w:szCs w:val="24"/>
        </w:rPr>
        <w:t>хоча і у значно меньших розмірах ніж у варианті 1</w:t>
      </w:r>
      <w:r w:rsidR="00E64822" w:rsidRPr="00DC6F20">
        <w:rPr>
          <w:rFonts w:ascii="Times New Roman" w:hAnsi="Times New Roman" w:cs="Times New Roman"/>
          <w:sz w:val="28"/>
          <w:szCs w:val="24"/>
        </w:rPr>
        <w:t xml:space="preserve">), що потребує додаткового обгрунтування величини критерія річного обсягу доходу/продаж МСП, що переходять на касовий метод, та обрахування потенційних бюджетних втрат. </w:t>
      </w:r>
    </w:p>
    <w:p w:rsidR="00E64822" w:rsidRPr="00DC6F20" w:rsidRDefault="00696553" w:rsidP="00696553">
      <w:pPr>
        <w:spacing w:after="0"/>
        <w:jc w:val="both"/>
        <w:rPr>
          <w:rFonts w:ascii="Times New Roman" w:hAnsi="Times New Roman" w:cs="Times New Roman"/>
          <w:sz w:val="18"/>
          <w:szCs w:val="24"/>
        </w:rPr>
      </w:pPr>
      <w:r w:rsidRPr="00DC6F20">
        <w:rPr>
          <w:rFonts w:ascii="Times New Roman" w:hAnsi="Times New Roman" w:cs="Times New Roman"/>
          <w:sz w:val="18"/>
          <w:szCs w:val="24"/>
        </w:rPr>
        <w:t xml:space="preserve"> </w:t>
      </w:r>
    </w:p>
    <w:p w:rsidR="00696553" w:rsidRPr="00DC6F20" w:rsidRDefault="00696553" w:rsidP="00696553">
      <w:pPr>
        <w:spacing w:after="0"/>
        <w:jc w:val="both"/>
        <w:rPr>
          <w:rFonts w:ascii="Times New Roman" w:hAnsi="Times New Roman" w:cs="Times New Roman"/>
          <w:sz w:val="28"/>
          <w:szCs w:val="24"/>
        </w:rPr>
      </w:pPr>
      <w:r w:rsidRPr="00DC6F20">
        <w:rPr>
          <w:rFonts w:ascii="Times New Roman" w:hAnsi="Times New Roman" w:cs="Times New Roman"/>
          <w:b/>
          <w:sz w:val="28"/>
          <w:szCs w:val="24"/>
          <w:u w:val="single"/>
        </w:rPr>
        <w:t>Варіант 3</w:t>
      </w:r>
      <w:r w:rsidRPr="00DC6F20">
        <w:rPr>
          <w:rFonts w:ascii="Times New Roman" w:hAnsi="Times New Roman" w:cs="Times New Roman"/>
          <w:sz w:val="28"/>
          <w:szCs w:val="24"/>
        </w:rPr>
        <w:t>: перехід до касового методу нарахування (сплати) податку на додану вартість за певними операціями</w:t>
      </w:r>
      <w:r w:rsidR="00E64822" w:rsidRPr="00DC6F20">
        <w:rPr>
          <w:rFonts w:ascii="Times New Roman" w:hAnsi="Times New Roman" w:cs="Times New Roman"/>
          <w:sz w:val="28"/>
          <w:szCs w:val="24"/>
        </w:rPr>
        <w:t xml:space="preserve">, зокрема суб'єктів малого та середнього бізнесу що здійснюють діяльність за окремими видамі діяльності (операціями). </w:t>
      </w:r>
    </w:p>
    <w:p w:rsidR="00777FEA" w:rsidRPr="00DC6F20" w:rsidRDefault="00696553" w:rsidP="00696553">
      <w:pPr>
        <w:spacing w:after="0"/>
        <w:jc w:val="both"/>
        <w:rPr>
          <w:rFonts w:ascii="Times New Roman" w:hAnsi="Times New Roman" w:cs="Times New Roman"/>
          <w:b/>
          <w:sz w:val="28"/>
          <w:szCs w:val="24"/>
        </w:rPr>
      </w:pPr>
      <w:r w:rsidRPr="00DC6F20">
        <w:rPr>
          <w:rFonts w:ascii="Times New Roman" w:hAnsi="Times New Roman" w:cs="Times New Roman"/>
          <w:b/>
          <w:sz w:val="32"/>
          <w:szCs w:val="24"/>
        </w:rPr>
        <w:t>Є оптимальним</w:t>
      </w:r>
      <w:r w:rsidRPr="00DC6F20">
        <w:rPr>
          <w:rFonts w:ascii="Times New Roman" w:hAnsi="Times New Roman" w:cs="Times New Roman"/>
          <w:sz w:val="28"/>
          <w:szCs w:val="24"/>
        </w:rPr>
        <w:t xml:space="preserve"> з огляду на </w:t>
      </w:r>
      <w:r w:rsidR="00E64822" w:rsidRPr="00DC6F20">
        <w:rPr>
          <w:rFonts w:ascii="Times New Roman" w:hAnsi="Times New Roman" w:cs="Times New Roman"/>
          <w:sz w:val="28"/>
          <w:szCs w:val="24"/>
        </w:rPr>
        <w:t>існуючу на Україні та загальноєвропейську практику.</w:t>
      </w:r>
    </w:p>
    <w:p w:rsidR="00932492" w:rsidRDefault="00932492">
      <w:pPr>
        <w:rPr>
          <w:rFonts w:ascii="Times New Roman" w:hAnsi="Times New Roman" w:cs="Times New Roman"/>
          <w:sz w:val="24"/>
          <w:szCs w:val="24"/>
        </w:rPr>
      </w:pPr>
    </w:p>
    <w:p w:rsidR="003A4B0B" w:rsidRDefault="003A4B0B" w:rsidP="00932492">
      <w:pPr>
        <w:rPr>
          <w:rFonts w:ascii="Times New Roman" w:hAnsi="Times New Roman" w:cs="Times New Roman"/>
          <w:sz w:val="28"/>
          <w:szCs w:val="28"/>
          <w:lang w:val="ru-RU"/>
        </w:rPr>
      </w:pPr>
    </w:p>
    <w:p w:rsidR="00932492" w:rsidRPr="00187B33" w:rsidRDefault="003A4B0B" w:rsidP="00932492">
      <w:pPr>
        <w:rPr>
          <w:rFonts w:ascii="Times New Roman" w:hAnsi="Times New Roman" w:cs="Times New Roman"/>
          <w:bCs/>
          <w:sz w:val="28"/>
          <w:szCs w:val="28"/>
          <w:u w:val="single"/>
        </w:rPr>
      </w:pPr>
      <w:r w:rsidRPr="00187B33">
        <w:rPr>
          <w:rFonts w:ascii="Times New Roman" w:hAnsi="Times New Roman" w:cs="Times New Roman"/>
          <w:sz w:val="28"/>
          <w:szCs w:val="28"/>
          <w:u w:val="single"/>
        </w:rPr>
        <w:t xml:space="preserve">Експертами </w:t>
      </w:r>
      <w:r w:rsidRPr="00187B33">
        <w:rPr>
          <w:rFonts w:ascii="Times New Roman" w:hAnsi="Times New Roman" w:cs="Times New Roman"/>
          <w:sz w:val="28"/>
          <w:szCs w:val="28"/>
          <w:u w:val="single"/>
          <w:lang w:val="ru-RU"/>
        </w:rPr>
        <w:t>б</w:t>
      </w:r>
      <w:r w:rsidR="00932492" w:rsidRPr="00187B33">
        <w:rPr>
          <w:rFonts w:ascii="Times New Roman" w:hAnsi="Times New Roman" w:cs="Times New Roman"/>
          <w:sz w:val="28"/>
          <w:szCs w:val="28"/>
          <w:u w:val="single"/>
        </w:rPr>
        <w:t xml:space="preserve">уло зроблено розрахунок взємозв’язку </w:t>
      </w:r>
      <w:r w:rsidR="00932492" w:rsidRPr="00187B33">
        <w:rPr>
          <w:rFonts w:ascii="Times New Roman" w:hAnsi="Times New Roman" w:cs="Times New Roman"/>
          <w:bCs/>
          <w:sz w:val="28"/>
          <w:szCs w:val="28"/>
          <w:u w:val="single"/>
        </w:rPr>
        <w:t xml:space="preserve">додаткових витрат підприємства на поповнення оборотних коштів для сплати ПДВ </w:t>
      </w:r>
      <w:r w:rsidRPr="00187B33">
        <w:rPr>
          <w:rFonts w:ascii="Times New Roman" w:hAnsi="Times New Roman" w:cs="Times New Roman"/>
          <w:bCs/>
          <w:sz w:val="28"/>
          <w:szCs w:val="28"/>
          <w:u w:val="single"/>
          <w:lang w:val="ru-RU"/>
        </w:rPr>
        <w:t>та терм</w:t>
      </w:r>
      <w:r w:rsidRPr="00187B33">
        <w:rPr>
          <w:rFonts w:ascii="Times New Roman" w:hAnsi="Times New Roman" w:cs="Times New Roman"/>
          <w:bCs/>
          <w:sz w:val="28"/>
          <w:szCs w:val="28"/>
          <w:u w:val="single"/>
        </w:rPr>
        <w:t>і</w:t>
      </w:r>
      <w:proofErr w:type="spellStart"/>
      <w:r w:rsidRPr="00187B33">
        <w:rPr>
          <w:rFonts w:ascii="Times New Roman" w:hAnsi="Times New Roman" w:cs="Times New Roman"/>
          <w:bCs/>
          <w:sz w:val="28"/>
          <w:szCs w:val="28"/>
          <w:u w:val="single"/>
          <w:lang w:val="ru-RU"/>
        </w:rPr>
        <w:t>нів</w:t>
      </w:r>
      <w:proofErr w:type="spellEnd"/>
      <w:r w:rsidR="00932492" w:rsidRPr="00187B33">
        <w:rPr>
          <w:rFonts w:ascii="Times New Roman" w:hAnsi="Times New Roman" w:cs="Times New Roman"/>
          <w:bCs/>
          <w:sz w:val="28"/>
          <w:szCs w:val="28"/>
          <w:u w:val="single"/>
        </w:rPr>
        <w:t xml:space="preserve"> відстроченн</w:t>
      </w:r>
      <w:r w:rsidRPr="00187B33">
        <w:rPr>
          <w:rFonts w:ascii="Times New Roman" w:hAnsi="Times New Roman" w:cs="Times New Roman"/>
          <w:bCs/>
          <w:sz w:val="28"/>
          <w:szCs w:val="28"/>
          <w:u w:val="single"/>
          <w:lang w:val="ru-RU"/>
        </w:rPr>
        <w:t>я</w:t>
      </w:r>
      <w:r w:rsidR="00932492" w:rsidRPr="00187B33">
        <w:rPr>
          <w:rFonts w:ascii="Times New Roman" w:hAnsi="Times New Roman" w:cs="Times New Roman"/>
          <w:bCs/>
          <w:sz w:val="28"/>
          <w:szCs w:val="28"/>
          <w:u w:val="single"/>
        </w:rPr>
        <w:t xml:space="preserve"> платежу – Додаток 2</w:t>
      </w:r>
    </w:p>
    <w:p w:rsidR="00932492" w:rsidRDefault="00932492" w:rsidP="00932492">
      <w:pPr>
        <w:rPr>
          <w:rFonts w:ascii="Times New Roman" w:hAnsi="Times New Roman" w:cs="Times New Roman"/>
          <w:bCs/>
          <w:sz w:val="28"/>
          <w:szCs w:val="28"/>
        </w:rPr>
      </w:pPr>
    </w:p>
    <w:p w:rsidR="00932492" w:rsidRDefault="00932492" w:rsidP="00932492">
      <w:pPr>
        <w:rPr>
          <w:rFonts w:ascii="Times New Roman" w:hAnsi="Times New Roman" w:cs="Times New Roman"/>
          <w:bCs/>
          <w:sz w:val="28"/>
          <w:szCs w:val="28"/>
        </w:rPr>
      </w:pPr>
    </w:p>
    <w:p w:rsidR="00932492" w:rsidRDefault="00932492" w:rsidP="00932492">
      <w:pPr>
        <w:rPr>
          <w:rFonts w:ascii="Times New Roman" w:hAnsi="Times New Roman" w:cs="Times New Roman"/>
          <w:b/>
          <w:bCs/>
          <w:sz w:val="28"/>
          <w:szCs w:val="28"/>
        </w:rPr>
      </w:pPr>
      <w:r w:rsidRPr="00932492">
        <w:rPr>
          <w:rFonts w:ascii="Times New Roman" w:hAnsi="Times New Roman" w:cs="Times New Roman"/>
          <w:b/>
          <w:bCs/>
          <w:sz w:val="28"/>
          <w:szCs w:val="28"/>
        </w:rPr>
        <w:t>Висновки:</w:t>
      </w:r>
    </w:p>
    <w:p w:rsidR="00932492" w:rsidRPr="00932492" w:rsidRDefault="008358E3">
      <w:pPr>
        <w:rPr>
          <w:rFonts w:ascii="Times New Roman" w:hAnsi="Times New Roman" w:cs="Times New Roman"/>
          <w:sz w:val="28"/>
          <w:szCs w:val="28"/>
        </w:rPr>
      </w:pPr>
      <w:r>
        <w:rPr>
          <w:rFonts w:ascii="Times New Roman" w:hAnsi="Times New Roman" w:cs="Times New Roman"/>
          <w:b/>
          <w:bCs/>
          <w:sz w:val="28"/>
          <w:szCs w:val="28"/>
        </w:rPr>
        <w:t xml:space="preserve">Виходячи з викладеного вище ми </w:t>
      </w:r>
      <w:r w:rsidR="00945511">
        <w:rPr>
          <w:rFonts w:ascii="Times New Roman" w:hAnsi="Times New Roman" w:cs="Times New Roman"/>
          <w:b/>
          <w:bCs/>
          <w:sz w:val="28"/>
          <w:szCs w:val="28"/>
        </w:rPr>
        <w:t>дішли</w:t>
      </w:r>
      <w:r>
        <w:rPr>
          <w:rFonts w:ascii="Times New Roman" w:hAnsi="Times New Roman" w:cs="Times New Roman"/>
          <w:b/>
          <w:bCs/>
          <w:sz w:val="28"/>
          <w:szCs w:val="28"/>
        </w:rPr>
        <w:t xml:space="preserve"> висновку, що необхідно розглянути різні види операцій та види діяльності, визначити, для яких з них найбільш доцільно впровадити </w:t>
      </w:r>
      <w:r w:rsidRPr="008358E3">
        <w:rPr>
          <w:rFonts w:ascii="Times New Roman" w:hAnsi="Times New Roman" w:cs="Times New Roman"/>
          <w:b/>
          <w:sz w:val="28"/>
          <w:szCs w:val="24"/>
        </w:rPr>
        <w:t>перехід до касового методу нарахування (сплати) податку на додану вартість</w:t>
      </w:r>
      <w:r>
        <w:rPr>
          <w:rFonts w:ascii="Times New Roman" w:hAnsi="Times New Roman" w:cs="Times New Roman"/>
          <w:b/>
          <w:sz w:val="28"/>
          <w:szCs w:val="24"/>
        </w:rPr>
        <w:t xml:space="preserve"> та розробити зміни до нормативно правових актів з метою </w:t>
      </w:r>
      <w:r w:rsidR="00693DBF">
        <w:rPr>
          <w:rFonts w:ascii="Times New Roman" w:hAnsi="Times New Roman" w:cs="Times New Roman"/>
          <w:b/>
          <w:sz w:val="28"/>
          <w:szCs w:val="24"/>
        </w:rPr>
        <w:t>реалізації цих змін. Такими операціями можуть бути розрахунки з комунальними підприємствами, розрахунки з державними структурами тощо.  Повний перелік таких оперецій має бути визначено в процесі додаткових експертних обговорень.</w:t>
      </w:r>
      <w:r w:rsidR="00932492" w:rsidRPr="00932492">
        <w:rPr>
          <w:rFonts w:ascii="Times New Roman" w:hAnsi="Times New Roman" w:cs="Times New Roman"/>
          <w:sz w:val="28"/>
          <w:szCs w:val="28"/>
        </w:rPr>
        <w:t xml:space="preserve"> </w:t>
      </w:r>
      <w:r w:rsidR="00932492" w:rsidRPr="00932492">
        <w:rPr>
          <w:rFonts w:ascii="Times New Roman" w:hAnsi="Times New Roman" w:cs="Times New Roman"/>
          <w:sz w:val="28"/>
          <w:szCs w:val="28"/>
        </w:rPr>
        <w:br w:type="page"/>
      </w:r>
    </w:p>
    <w:p w:rsidR="00E64822" w:rsidRPr="00DC6F20" w:rsidRDefault="00E64822" w:rsidP="006A38CC">
      <w:pPr>
        <w:spacing w:after="0"/>
        <w:ind w:right="-31"/>
        <w:jc w:val="right"/>
        <w:rPr>
          <w:rFonts w:ascii="Times New Roman" w:hAnsi="Times New Roman" w:cs="Times New Roman"/>
          <w:sz w:val="24"/>
          <w:szCs w:val="24"/>
        </w:rPr>
      </w:pPr>
    </w:p>
    <w:p w:rsidR="001B438E" w:rsidRPr="00DC6F20" w:rsidRDefault="0061783B" w:rsidP="0061783B">
      <w:pPr>
        <w:spacing w:after="0"/>
        <w:jc w:val="right"/>
        <w:rPr>
          <w:rFonts w:ascii="Times New Roman" w:hAnsi="Times New Roman" w:cs="Times New Roman"/>
          <w:b/>
          <w:sz w:val="28"/>
          <w:szCs w:val="24"/>
        </w:rPr>
      </w:pPr>
      <w:r w:rsidRPr="00DC6F20">
        <w:rPr>
          <w:rFonts w:ascii="Times New Roman" w:hAnsi="Times New Roman" w:cs="Times New Roman"/>
          <w:b/>
          <w:sz w:val="28"/>
          <w:szCs w:val="24"/>
        </w:rPr>
        <w:t>Додат</w:t>
      </w:r>
      <w:r w:rsidR="00932492">
        <w:rPr>
          <w:rFonts w:ascii="Times New Roman" w:hAnsi="Times New Roman" w:cs="Times New Roman"/>
          <w:b/>
          <w:sz w:val="28"/>
          <w:szCs w:val="24"/>
        </w:rPr>
        <w:t>ок 1</w:t>
      </w:r>
    </w:p>
    <w:p w:rsidR="001B438E" w:rsidRPr="00DC6F20" w:rsidRDefault="001B438E" w:rsidP="002E777E">
      <w:pPr>
        <w:spacing w:after="0"/>
        <w:rPr>
          <w:rFonts w:ascii="Times New Roman" w:hAnsi="Times New Roman" w:cs="Times New Roman"/>
          <w:b/>
          <w:sz w:val="18"/>
          <w:szCs w:val="24"/>
        </w:rPr>
      </w:pPr>
    </w:p>
    <w:p w:rsidR="00A35E8B" w:rsidRPr="00DC6F20" w:rsidRDefault="00A35E8B" w:rsidP="002E777E">
      <w:pPr>
        <w:spacing w:after="0"/>
        <w:rPr>
          <w:rFonts w:ascii="Times New Roman" w:hAnsi="Times New Roman" w:cs="Times New Roman"/>
          <w:b/>
          <w:sz w:val="24"/>
          <w:szCs w:val="24"/>
        </w:rPr>
      </w:pPr>
      <w:r w:rsidRPr="00DC6F20">
        <w:rPr>
          <w:rFonts w:ascii="Times New Roman" w:hAnsi="Times New Roman" w:cs="Times New Roman"/>
          <w:b/>
          <w:sz w:val="24"/>
          <w:szCs w:val="24"/>
        </w:rPr>
        <w:t>ПОДАТКОВИЙ КОДЕКС УКРАЇНИ</w:t>
      </w:r>
    </w:p>
    <w:p w:rsidR="00A35E8B" w:rsidRPr="00DC6F20" w:rsidRDefault="003D341D" w:rsidP="00A35E8B">
      <w:pPr>
        <w:spacing w:after="0"/>
        <w:rPr>
          <w:rFonts w:ascii="Times New Roman" w:hAnsi="Times New Roman" w:cs="Times New Roman"/>
          <w:sz w:val="24"/>
          <w:szCs w:val="24"/>
        </w:rPr>
      </w:pPr>
      <w:r w:rsidRPr="00DC6F20">
        <w:rPr>
          <w:rFonts w:ascii="Times New Roman" w:hAnsi="Times New Roman" w:cs="Times New Roman"/>
          <w:sz w:val="24"/>
          <w:szCs w:val="24"/>
        </w:rPr>
        <w:t>Стаття 14. Визначення понять</w:t>
      </w:r>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(1)</w:t>
      </w:r>
      <w:r w:rsidRPr="00DC6F20">
        <w:rPr>
          <w:rFonts w:ascii="Times New Roman" w:hAnsi="Times New Roman" w:cs="Times New Roman"/>
          <w:sz w:val="24"/>
          <w:szCs w:val="24"/>
        </w:rPr>
        <w:t xml:space="preserve"> 14.1.266. касовий метод для цілей оподаткування згідно з розділом V цього Кодексу - метод податкового обліку, за яким дата виникнення податкових зобов'язань визначається як </w:t>
      </w:r>
      <w:r w:rsidRPr="00DC6F20">
        <w:rPr>
          <w:rFonts w:ascii="Times New Roman" w:hAnsi="Times New Roman" w:cs="Times New Roman"/>
          <w:sz w:val="24"/>
          <w:szCs w:val="24"/>
          <w:u w:val="single"/>
        </w:rPr>
        <w:t>дата зарахування (отримання) коштів на банківський рахунок (у касу)</w:t>
      </w:r>
      <w:r w:rsidRPr="00DC6F20">
        <w:rPr>
          <w:rFonts w:ascii="Times New Roman" w:hAnsi="Times New Roman" w:cs="Times New Roman"/>
          <w:sz w:val="24"/>
          <w:szCs w:val="24"/>
        </w:rPr>
        <w:t xml:space="preserve"> платника податку або дата отримання інших видів компенсацій вартості поставлених (або тих, що підлягають поставці) ним товарів (послуг), а дата виникнення права на податковий кредит визначається як дата списання коштів з банківського рахунку (видачі з каси) платника податку або дата надання інших видів компенсацій вартості поставлених (або тих, що підлягають поставці) йому товарів (послуг);</w:t>
      </w:r>
    </w:p>
    <w:p w:rsidR="00A35E8B" w:rsidRPr="00DC6F20" w:rsidRDefault="003D341D"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РОЗДІЛ V. ПОДАТОК НА ДОДАНУ ВАРТІСТЬ</w:t>
      </w:r>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Стаття 187. Дата виникнення податкових зобов'язань</w:t>
      </w:r>
    </w:p>
    <w:p w:rsidR="002E777E" w:rsidRPr="00DC6F20" w:rsidRDefault="002E777E" w:rsidP="002E777E">
      <w:pPr>
        <w:spacing w:after="0"/>
        <w:jc w:val="both"/>
        <w:rPr>
          <w:rFonts w:ascii="Times New Roman" w:hAnsi="Times New Roman" w:cs="Times New Roman"/>
          <w:sz w:val="24"/>
          <w:szCs w:val="24"/>
        </w:rPr>
      </w:pPr>
      <w:r w:rsidRPr="00DC6F20">
        <w:rPr>
          <w:rFonts w:ascii="Times New Roman" w:hAnsi="Times New Roman" w:cs="Times New Roman"/>
          <w:b/>
          <w:sz w:val="24"/>
          <w:szCs w:val="24"/>
        </w:rPr>
        <w:t xml:space="preserve">(2) </w:t>
      </w:r>
      <w:r w:rsidRPr="00DC6F20">
        <w:rPr>
          <w:rFonts w:ascii="Times New Roman" w:hAnsi="Times New Roman" w:cs="Times New Roman"/>
          <w:sz w:val="24"/>
          <w:szCs w:val="24"/>
        </w:rPr>
        <w:t xml:space="preserve">187.1. 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 </w:t>
      </w:r>
    </w:p>
    <w:p w:rsidR="002E777E" w:rsidRPr="00DC6F20" w:rsidRDefault="002E777E" w:rsidP="002E777E">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а) 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 </w:t>
      </w:r>
    </w:p>
    <w:p w:rsidR="002E777E" w:rsidRPr="00DC6F20" w:rsidRDefault="002E777E" w:rsidP="002E777E">
      <w:pPr>
        <w:spacing w:after="0"/>
        <w:jc w:val="both"/>
        <w:rPr>
          <w:rFonts w:ascii="Times New Roman" w:hAnsi="Times New Roman" w:cs="Times New Roman"/>
          <w:sz w:val="24"/>
          <w:szCs w:val="24"/>
        </w:rPr>
      </w:pPr>
      <w:r w:rsidRPr="00DC6F20">
        <w:rPr>
          <w:rFonts w:ascii="Times New Roman" w:hAnsi="Times New Roman" w:cs="Times New Roman"/>
          <w:sz w:val="24"/>
          <w:szCs w:val="24"/>
        </w:rPr>
        <w:t>б) 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w:t>
      </w:r>
    </w:p>
    <w:p w:rsidR="00A35E8B" w:rsidRPr="00DC6F20" w:rsidRDefault="002E777E"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(3</w:t>
      </w:r>
      <w:r w:rsidR="00A35E8B" w:rsidRPr="00DC6F20">
        <w:rPr>
          <w:rFonts w:ascii="Times New Roman" w:hAnsi="Times New Roman" w:cs="Times New Roman"/>
          <w:b/>
          <w:sz w:val="24"/>
          <w:szCs w:val="24"/>
        </w:rPr>
        <w:t>)</w:t>
      </w:r>
      <w:r w:rsidR="00A35E8B" w:rsidRPr="00DC6F20">
        <w:rPr>
          <w:rFonts w:ascii="Times New Roman" w:hAnsi="Times New Roman" w:cs="Times New Roman"/>
          <w:sz w:val="24"/>
          <w:szCs w:val="24"/>
        </w:rPr>
        <w:t xml:space="preserve"> 187.1. ….</w:t>
      </w:r>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За операціями з виконання підрядних будівельних робіт суб'єкти підприємницької діяльності можуть застосовувати </w:t>
      </w:r>
      <w:r w:rsidRPr="00DC6F20">
        <w:rPr>
          <w:rFonts w:ascii="Times New Roman" w:hAnsi="Times New Roman" w:cs="Times New Roman"/>
          <w:sz w:val="24"/>
          <w:szCs w:val="24"/>
          <w:u w:val="single"/>
        </w:rPr>
        <w:t>касовий метод</w:t>
      </w:r>
      <w:r w:rsidRPr="00DC6F20">
        <w:rPr>
          <w:rFonts w:ascii="Times New Roman" w:hAnsi="Times New Roman" w:cs="Times New Roman"/>
          <w:sz w:val="24"/>
          <w:szCs w:val="24"/>
        </w:rPr>
        <w:t xml:space="preserve"> податкового обліку відповідно до підпункту 14.1.266 пункту 14.1 статті 14 цього Кодексу.</w:t>
      </w:r>
    </w:p>
    <w:p w:rsidR="00A35E8B" w:rsidRPr="00DC6F20" w:rsidRDefault="002E777E"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(4</w:t>
      </w:r>
      <w:r w:rsidR="00A35E8B" w:rsidRPr="00DC6F20">
        <w:rPr>
          <w:rFonts w:ascii="Times New Roman" w:hAnsi="Times New Roman" w:cs="Times New Roman"/>
          <w:b/>
          <w:sz w:val="24"/>
          <w:szCs w:val="24"/>
        </w:rPr>
        <w:t xml:space="preserve">) </w:t>
      </w:r>
      <w:r w:rsidR="00A35E8B" w:rsidRPr="00DC6F20">
        <w:rPr>
          <w:rFonts w:ascii="Times New Roman" w:hAnsi="Times New Roman" w:cs="Times New Roman"/>
          <w:sz w:val="24"/>
          <w:szCs w:val="24"/>
        </w:rPr>
        <w:t xml:space="preserve">187.7. Датою виникнення податкових зобов'язань у разі постачання товарів/послуг з оплатою за рахунок бюджетних коштів є </w:t>
      </w:r>
      <w:r w:rsidR="00A35E8B" w:rsidRPr="00DC6F20">
        <w:rPr>
          <w:rFonts w:ascii="Times New Roman" w:hAnsi="Times New Roman" w:cs="Times New Roman"/>
          <w:sz w:val="24"/>
          <w:szCs w:val="24"/>
          <w:u w:val="single"/>
        </w:rPr>
        <w:t>дата зарахування таких коштів</w:t>
      </w:r>
      <w:r w:rsidR="00A35E8B" w:rsidRPr="00DC6F20">
        <w:rPr>
          <w:rFonts w:ascii="Times New Roman" w:hAnsi="Times New Roman" w:cs="Times New Roman"/>
          <w:sz w:val="24"/>
          <w:szCs w:val="24"/>
        </w:rPr>
        <w:t xml:space="preserve"> на банківський рахунок платника податку або дата отримання відповідної компенсації у будь-якій іншій формі, включаючи зменшення заборгованості такого платника податку за його зобов'язаннями перед бюджетом.</w:t>
      </w:r>
    </w:p>
    <w:p w:rsidR="00A35E8B" w:rsidRPr="00DC6F20" w:rsidRDefault="002E777E"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(5</w:t>
      </w:r>
      <w:r w:rsidR="00A35E8B" w:rsidRPr="00DC6F20">
        <w:rPr>
          <w:rFonts w:ascii="Times New Roman" w:hAnsi="Times New Roman" w:cs="Times New Roman"/>
          <w:b/>
          <w:sz w:val="24"/>
          <w:szCs w:val="24"/>
        </w:rPr>
        <w:t>)</w:t>
      </w:r>
      <w:r w:rsidR="00A35E8B" w:rsidRPr="00DC6F20">
        <w:rPr>
          <w:rFonts w:ascii="Times New Roman" w:hAnsi="Times New Roman" w:cs="Times New Roman"/>
          <w:sz w:val="24"/>
          <w:szCs w:val="24"/>
        </w:rPr>
        <w:t xml:space="preserve"> 187.10. Платники податку, які постачають теплову енергію, природний газ (крім скрапленого), надають послуги з транспортування та/або розподілу природного газу, водопостачання, водовідведення чи послуги, вартість яких включається до складу квартирної плати чи плати за утримання житла, фізичним особам, бюджетним установам, не зареєстрованим як платники податку, а також житлово-експлуатаційним конторам, квартирно-експлуатаційним частинам, об'єднанням співвласників багатоквартирних будинків, іншим платникам податку, які </w:t>
      </w:r>
      <w:r w:rsidR="00A35E8B" w:rsidRPr="00DC6F20">
        <w:rPr>
          <w:rFonts w:ascii="Times New Roman" w:hAnsi="Times New Roman" w:cs="Times New Roman"/>
          <w:sz w:val="24"/>
          <w:szCs w:val="24"/>
        </w:rPr>
        <w:lastRenderedPageBreak/>
        <w:t xml:space="preserve">здійснюють збір коштів від зазначених покупців з метою подальшого їх перерахування продавцям таких товарів (надавачам послуг) у рахунок компенсації їх вартості, визначають дату виникнення податкових зобов'язань та податкового кредиту </w:t>
      </w:r>
      <w:r w:rsidR="00A35E8B" w:rsidRPr="00DC6F20">
        <w:rPr>
          <w:rFonts w:ascii="Times New Roman" w:hAnsi="Times New Roman" w:cs="Times New Roman"/>
          <w:sz w:val="24"/>
          <w:szCs w:val="24"/>
          <w:u w:val="single"/>
        </w:rPr>
        <w:t>за касовим методом</w:t>
      </w:r>
      <w:r w:rsidR="00A35E8B" w:rsidRPr="00DC6F20">
        <w:rPr>
          <w:rFonts w:ascii="Times New Roman" w:hAnsi="Times New Roman" w:cs="Times New Roman"/>
          <w:sz w:val="24"/>
          <w:szCs w:val="24"/>
        </w:rPr>
        <w:t>.</w:t>
      </w:r>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Зазначене правило визначення дати виникнення податкових зобов'язань поширюється також на операції з постачання зазначених товарів/послуг для ЖЕКів та бюджетних установ, що отримують такі товари/послуги, якщо вони зареєстровані як платники податку. </w:t>
      </w:r>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Для цілей цього пункту послугами, вартість яких включається до складу квартирної плати чи плати за утримання житла, вважаються послуги з технічного обслуговування ліфтів та диспетчерських систем, систем протипожежної автоматики та димовидалення, побутових електроплит, обслуговування димовентиляційних каналів, внутрішньобудинкових систем водо- і теплопостачання, водовідведення та зливової каналізації, вивезення та утилізації твердого побутового та грубого сміття, прибирання будинкової та прибудинкової території, а також інші послуги, які надаються ЖЕКами зазначеним у цьому пункті покупцям за їх рахунок.</w:t>
      </w:r>
    </w:p>
    <w:p w:rsidR="003D341D" w:rsidRPr="00DC6F20" w:rsidRDefault="003D341D"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РОЗДІЛ XX. ПЕРЕХІДНІ ПОЛОЖЕННЯ</w:t>
      </w:r>
    </w:p>
    <w:p w:rsidR="003D341D" w:rsidRPr="00DC6F20" w:rsidRDefault="003D341D"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Підрозділ 2. Особливості справляння податку на додану вартість</w:t>
      </w:r>
    </w:p>
    <w:p w:rsidR="003D341D" w:rsidRPr="00DC6F20" w:rsidRDefault="002E777E"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(6</w:t>
      </w:r>
      <w:r w:rsidR="003D341D" w:rsidRPr="00DC6F20">
        <w:rPr>
          <w:rFonts w:ascii="Times New Roman" w:hAnsi="Times New Roman" w:cs="Times New Roman"/>
          <w:b/>
          <w:sz w:val="24"/>
          <w:szCs w:val="24"/>
        </w:rPr>
        <w:t>)</w:t>
      </w:r>
      <w:r w:rsidR="003D341D" w:rsidRPr="00DC6F20">
        <w:rPr>
          <w:rFonts w:ascii="Times New Roman" w:hAnsi="Times New Roman" w:cs="Times New Roman"/>
          <w:sz w:val="24"/>
          <w:szCs w:val="24"/>
        </w:rPr>
        <w:t xml:space="preserve"> 44. Тимчасово, до 1 липня 2017 року, платники податку,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w:t>
      </w:r>
      <w:proofErr w:type="spellStart"/>
      <w:r w:rsidR="003D341D" w:rsidRPr="00DC6F20">
        <w:rPr>
          <w:rFonts w:ascii="Times New Roman" w:hAnsi="Times New Roman" w:cs="Times New Roman"/>
          <w:sz w:val="24"/>
          <w:szCs w:val="24"/>
        </w:rPr>
        <w:t>00</w:t>
      </w:r>
      <w:proofErr w:type="spellEnd"/>
      <w:r w:rsidR="003D341D" w:rsidRPr="00DC6F20">
        <w:rPr>
          <w:rFonts w:ascii="Times New Roman" w:hAnsi="Times New Roman" w:cs="Times New Roman"/>
          <w:sz w:val="24"/>
          <w:szCs w:val="24"/>
        </w:rPr>
        <w:t xml:space="preserve"> </w:t>
      </w:r>
      <w:proofErr w:type="spellStart"/>
      <w:r w:rsidR="003D341D" w:rsidRPr="00DC6F20">
        <w:rPr>
          <w:rFonts w:ascii="Times New Roman" w:hAnsi="Times New Roman" w:cs="Times New Roman"/>
          <w:sz w:val="24"/>
          <w:szCs w:val="24"/>
        </w:rPr>
        <w:t>00</w:t>
      </w:r>
      <w:proofErr w:type="spellEnd"/>
      <w:r w:rsidR="003D341D" w:rsidRPr="00DC6F20">
        <w:rPr>
          <w:rFonts w:ascii="Times New Roman" w:hAnsi="Times New Roman" w:cs="Times New Roman"/>
          <w:sz w:val="24"/>
          <w:szCs w:val="24"/>
        </w:rPr>
        <w:t>, 2704 00 згідно з УКТ ЗЕД, визначають дату виникнення податкових зобов'язань та податкового кредиту за касовим методом.</w:t>
      </w:r>
    </w:p>
    <w:p w:rsidR="003D341D" w:rsidRPr="00DC6F20" w:rsidRDefault="003D341D" w:rsidP="00A35E8B">
      <w:pPr>
        <w:spacing w:after="0"/>
        <w:jc w:val="both"/>
        <w:rPr>
          <w:rFonts w:ascii="Times New Roman" w:hAnsi="Times New Roman" w:cs="Times New Roman"/>
          <w:sz w:val="18"/>
          <w:szCs w:val="24"/>
        </w:rPr>
      </w:pPr>
    </w:p>
    <w:p w:rsidR="001725B8" w:rsidRPr="00DC6F20" w:rsidRDefault="002E777E" w:rsidP="00A35E8B">
      <w:pPr>
        <w:spacing w:after="0"/>
        <w:jc w:val="both"/>
        <w:rPr>
          <w:rFonts w:ascii="Times New Roman" w:hAnsi="Times New Roman" w:cs="Times New Roman"/>
          <w:sz w:val="24"/>
          <w:szCs w:val="24"/>
        </w:rPr>
      </w:pPr>
      <w:r w:rsidRPr="00DC6F20">
        <w:rPr>
          <w:rFonts w:ascii="Times New Roman" w:hAnsi="Times New Roman" w:cs="Times New Roman"/>
          <w:b/>
          <w:sz w:val="24"/>
          <w:szCs w:val="24"/>
        </w:rPr>
        <w:t xml:space="preserve">(7) </w:t>
      </w:r>
      <w:r w:rsidR="001725B8" w:rsidRPr="00DC6F20">
        <w:rPr>
          <w:rFonts w:ascii="Times New Roman" w:hAnsi="Times New Roman" w:cs="Times New Roman"/>
          <w:sz w:val="24"/>
          <w:szCs w:val="24"/>
        </w:rPr>
        <w:t>Умови застосування касового методу податкового обліку для платника ПДВ</w:t>
      </w:r>
    </w:p>
    <w:p w:rsidR="001725B8" w:rsidRPr="00DC6F20" w:rsidRDefault="001A5465" w:rsidP="00A35E8B">
      <w:pPr>
        <w:spacing w:after="0"/>
        <w:jc w:val="both"/>
        <w:rPr>
          <w:rFonts w:ascii="Times New Roman" w:hAnsi="Times New Roman" w:cs="Times New Roman"/>
          <w:sz w:val="24"/>
          <w:szCs w:val="24"/>
        </w:rPr>
      </w:pPr>
      <w:hyperlink r:id="rId8" w:history="1">
        <w:r w:rsidR="001725B8" w:rsidRPr="00DC6F20">
          <w:rPr>
            <w:rStyle w:val="a4"/>
            <w:rFonts w:ascii="Times New Roman" w:hAnsi="Times New Roman" w:cs="Times New Roman"/>
            <w:sz w:val="24"/>
            <w:szCs w:val="24"/>
          </w:rPr>
          <w:t>http://if.sfs.gov.ua/media-ark/news-ark/237091.html</w:t>
        </w:r>
      </w:hyperlink>
    </w:p>
    <w:p w:rsidR="00A35E8B" w:rsidRPr="00DC6F20" w:rsidRDefault="00A35E8B"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Нюанси касового методу обліку</w:t>
      </w:r>
    </w:p>
    <w:p w:rsidR="00A35E8B" w:rsidRPr="00DC6F20" w:rsidRDefault="001A5465" w:rsidP="00A35E8B">
      <w:pPr>
        <w:spacing w:after="0"/>
        <w:jc w:val="both"/>
        <w:rPr>
          <w:rFonts w:ascii="Times New Roman" w:hAnsi="Times New Roman" w:cs="Times New Roman"/>
          <w:sz w:val="24"/>
          <w:szCs w:val="24"/>
        </w:rPr>
      </w:pPr>
      <w:hyperlink r:id="rId9" w:history="1">
        <w:r w:rsidR="00A35E8B" w:rsidRPr="00DC6F20">
          <w:rPr>
            <w:rStyle w:val="a4"/>
            <w:rFonts w:ascii="Times New Roman" w:hAnsi="Times New Roman" w:cs="Times New Roman"/>
            <w:sz w:val="24"/>
            <w:szCs w:val="24"/>
          </w:rPr>
          <w:t>http://tr.sfs.gov.ua/media-ark/news-ark/print-116973.html</w:t>
        </w:r>
      </w:hyperlink>
    </w:p>
    <w:p w:rsidR="00533C51" w:rsidRPr="00DC6F20" w:rsidRDefault="00533C51"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Лист ДФС України від 22.01.2016 №2055/7/99-99-19-03-02-17 «Про окремі особливості застосування касового методу визначення дати виникнення податкових зобов'язань та податкового кредиту підприємствами енергетичної галузі»</w:t>
      </w:r>
    </w:p>
    <w:p w:rsidR="00533C51" w:rsidRPr="00DC6F20" w:rsidRDefault="001A5465" w:rsidP="00A35E8B">
      <w:pPr>
        <w:spacing w:after="0"/>
        <w:jc w:val="both"/>
        <w:rPr>
          <w:rStyle w:val="a4"/>
          <w:rFonts w:ascii="Times New Roman" w:hAnsi="Times New Roman" w:cs="Times New Roman"/>
          <w:sz w:val="24"/>
          <w:szCs w:val="24"/>
        </w:rPr>
      </w:pPr>
      <w:hyperlink r:id="rId10" w:history="1">
        <w:r w:rsidR="00533C51" w:rsidRPr="00DC6F20">
          <w:rPr>
            <w:rStyle w:val="a4"/>
            <w:rFonts w:ascii="Times New Roman" w:hAnsi="Times New Roman" w:cs="Times New Roman"/>
            <w:sz w:val="24"/>
            <w:szCs w:val="24"/>
          </w:rPr>
          <w:t>http://sfs.gov.ua/baneryi/podatkovi-zmini-2015/elektronne-administruvannya-pdv/66080.html</w:t>
        </w:r>
      </w:hyperlink>
    </w:p>
    <w:p w:rsidR="0063676B" w:rsidRPr="00DC6F20" w:rsidRDefault="00DD52ED" w:rsidP="00A35E8B">
      <w:pPr>
        <w:spacing w:after="0"/>
        <w:jc w:val="both"/>
        <w:rPr>
          <w:rFonts w:ascii="Times New Roman" w:hAnsi="Times New Roman" w:cs="Times New Roman"/>
          <w:sz w:val="24"/>
          <w:szCs w:val="24"/>
        </w:rPr>
      </w:pPr>
      <w:r w:rsidRPr="00DC6F20">
        <w:rPr>
          <w:rFonts w:ascii="Times New Roman" w:hAnsi="Times New Roman" w:cs="Times New Roman"/>
          <w:sz w:val="24"/>
          <w:szCs w:val="24"/>
        </w:rPr>
        <w:t>Лист ГУ ДФС у Рівненській області від 07.06.2016 р. № 1395/10/17-00-12-01-07 (податкова консультація)</w:t>
      </w:r>
    </w:p>
    <w:p w:rsidR="00DD52ED" w:rsidRPr="00DC6F20" w:rsidRDefault="001A5465" w:rsidP="00A35E8B">
      <w:pPr>
        <w:spacing w:after="0"/>
        <w:jc w:val="both"/>
        <w:rPr>
          <w:rFonts w:ascii="Times New Roman" w:hAnsi="Times New Roman" w:cs="Times New Roman"/>
          <w:sz w:val="24"/>
          <w:szCs w:val="24"/>
        </w:rPr>
      </w:pPr>
      <w:hyperlink r:id="rId11" w:history="1">
        <w:r w:rsidR="00DD52ED" w:rsidRPr="00DC6F20">
          <w:rPr>
            <w:rStyle w:val="a4"/>
            <w:rFonts w:ascii="Times New Roman" w:hAnsi="Times New Roman" w:cs="Times New Roman"/>
            <w:sz w:val="24"/>
            <w:szCs w:val="24"/>
          </w:rPr>
          <w:t>http://rv.sfs.gov.ua/baner/podatkovi-konsultatsii/konsultatsii-dlya-yuridichnih-osib/print-68483.html</w:t>
        </w:r>
      </w:hyperlink>
    </w:p>
    <w:p w:rsidR="00533C51" w:rsidRPr="00DC6F20" w:rsidRDefault="00533C51" w:rsidP="00A35E8B">
      <w:pPr>
        <w:spacing w:after="0"/>
        <w:jc w:val="both"/>
        <w:rPr>
          <w:rFonts w:ascii="Times New Roman" w:hAnsi="Times New Roman" w:cs="Times New Roman"/>
          <w:sz w:val="18"/>
          <w:szCs w:val="24"/>
        </w:rPr>
      </w:pPr>
    </w:p>
    <w:p w:rsidR="002E777E" w:rsidRPr="00DC6F20" w:rsidRDefault="002E777E" w:rsidP="002E777E">
      <w:pPr>
        <w:spacing w:after="0"/>
        <w:jc w:val="both"/>
        <w:rPr>
          <w:rFonts w:ascii="Times New Roman" w:hAnsi="Times New Roman" w:cs="Times New Roman"/>
          <w:b/>
          <w:sz w:val="24"/>
          <w:szCs w:val="24"/>
        </w:rPr>
      </w:pPr>
      <w:r w:rsidRPr="00DC6F20">
        <w:rPr>
          <w:rFonts w:ascii="Times New Roman" w:hAnsi="Times New Roman" w:cs="Times New Roman"/>
          <w:b/>
          <w:sz w:val="24"/>
          <w:szCs w:val="24"/>
        </w:rPr>
        <w:t>ДИРЕКТИВА 2006/112/ЄС про спільну систему податку на додану вартість</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РОЗДІЛ VI. ФАКТ ВИНИКНЕННЯ ПОДАТКОВОГО ЗОБОВ'ЯЗАННЯ ТА ВИНИКНЕННЯ ПОДАТКОВОГО ЗОБОВ'ЯЗАННЯ З ПДВ </w:t>
      </w:r>
    </w:p>
    <w:p w:rsidR="00DB48CA" w:rsidRPr="00DC6F20" w:rsidRDefault="002E777E" w:rsidP="00DB48CA">
      <w:pPr>
        <w:spacing w:after="0"/>
        <w:jc w:val="both"/>
        <w:rPr>
          <w:rFonts w:ascii="Times New Roman" w:hAnsi="Times New Roman" w:cs="Times New Roman"/>
          <w:sz w:val="24"/>
          <w:szCs w:val="24"/>
        </w:rPr>
      </w:pPr>
      <w:r w:rsidRPr="00DC6F20">
        <w:rPr>
          <w:rFonts w:ascii="Times New Roman" w:hAnsi="Times New Roman" w:cs="Times New Roman"/>
          <w:b/>
          <w:sz w:val="24"/>
          <w:szCs w:val="24"/>
        </w:rPr>
        <w:t>(8)</w:t>
      </w:r>
      <w:r w:rsidRPr="00DC6F20">
        <w:rPr>
          <w:rFonts w:ascii="Times New Roman" w:hAnsi="Times New Roman" w:cs="Times New Roman"/>
          <w:sz w:val="24"/>
          <w:szCs w:val="24"/>
        </w:rPr>
        <w:t xml:space="preserve"> </w:t>
      </w:r>
      <w:r w:rsidR="00DB48CA" w:rsidRPr="00DC6F20">
        <w:rPr>
          <w:rFonts w:ascii="Times New Roman" w:hAnsi="Times New Roman" w:cs="Times New Roman"/>
          <w:sz w:val="24"/>
          <w:szCs w:val="24"/>
        </w:rPr>
        <w:t xml:space="preserve">ГЛАВА 2. Поставка товарів або послуг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Стаття 63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Факт виникнення податкового зобов'язання має місце, а податкове зобов'язання з ПДВ виникає тоді, коли відбувається поставка товарів або послуг.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Стаття 65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lastRenderedPageBreak/>
        <w:t xml:space="preserve">Якщо платіж має бути здійснений на рахунок до поставки товарів або послуг, то податкове зобов'язання з ПДВ виникає після надходження платежу на отриману суму. </w:t>
      </w:r>
    </w:p>
    <w:p w:rsidR="00DB48CA" w:rsidRPr="00DC6F20" w:rsidRDefault="002E777E" w:rsidP="00DB48CA">
      <w:pPr>
        <w:spacing w:after="0"/>
        <w:jc w:val="both"/>
        <w:rPr>
          <w:rFonts w:ascii="Times New Roman" w:hAnsi="Times New Roman" w:cs="Times New Roman"/>
          <w:sz w:val="24"/>
          <w:szCs w:val="24"/>
        </w:rPr>
      </w:pPr>
      <w:r w:rsidRPr="00DC6F20">
        <w:rPr>
          <w:rFonts w:ascii="Times New Roman" w:hAnsi="Times New Roman" w:cs="Times New Roman"/>
          <w:b/>
          <w:sz w:val="24"/>
          <w:szCs w:val="24"/>
        </w:rPr>
        <w:t>(9)</w:t>
      </w:r>
      <w:r w:rsidRPr="00DC6F20">
        <w:rPr>
          <w:rFonts w:ascii="Times New Roman" w:hAnsi="Times New Roman" w:cs="Times New Roman"/>
          <w:sz w:val="24"/>
          <w:szCs w:val="24"/>
        </w:rPr>
        <w:t xml:space="preserve"> </w:t>
      </w:r>
      <w:r w:rsidR="00DB48CA" w:rsidRPr="00DC6F20">
        <w:rPr>
          <w:rFonts w:ascii="Times New Roman" w:hAnsi="Times New Roman" w:cs="Times New Roman"/>
          <w:sz w:val="24"/>
          <w:szCs w:val="24"/>
        </w:rPr>
        <w:t xml:space="preserve">Стаття 66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На відступ від Статей 63, 64 та 65, Держави-члени можуть встановлювати, що податкове зобов'язання з ПДВ виникає в один із зазначених нижче моментів </w:t>
      </w:r>
      <w:r w:rsidRPr="00DC6F20">
        <w:rPr>
          <w:rFonts w:ascii="Times New Roman" w:hAnsi="Times New Roman" w:cs="Times New Roman"/>
          <w:b/>
          <w:sz w:val="24"/>
          <w:szCs w:val="24"/>
          <w:u w:val="single"/>
        </w:rPr>
        <w:t>за певними операціями або для певних категорій платників податку</w:t>
      </w:r>
      <w:r w:rsidRPr="00DC6F20">
        <w:rPr>
          <w:rFonts w:ascii="Times New Roman" w:hAnsi="Times New Roman" w:cs="Times New Roman"/>
          <w:sz w:val="24"/>
          <w:szCs w:val="24"/>
        </w:rPr>
        <w:t xml:space="preserve">: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(a) не пізніше моменту виставлення рахунку; </w:t>
      </w:r>
    </w:p>
    <w:p w:rsidR="00DB48CA" w:rsidRPr="00DC6F20" w:rsidRDefault="00DB48CA" w:rsidP="00DB48CA">
      <w:pPr>
        <w:spacing w:after="0"/>
        <w:jc w:val="both"/>
        <w:rPr>
          <w:rFonts w:ascii="Times New Roman" w:hAnsi="Times New Roman" w:cs="Times New Roman"/>
          <w:sz w:val="24"/>
          <w:szCs w:val="24"/>
          <w:u w:val="single"/>
        </w:rPr>
      </w:pPr>
      <w:r w:rsidRPr="00DC6F20">
        <w:rPr>
          <w:rFonts w:ascii="Times New Roman" w:hAnsi="Times New Roman" w:cs="Times New Roman"/>
          <w:sz w:val="24"/>
          <w:szCs w:val="24"/>
          <w:u w:val="single"/>
        </w:rPr>
        <w:t xml:space="preserve">(b) не пізніше моменту отримання платежу; </w:t>
      </w:r>
    </w:p>
    <w:p w:rsidR="00DB48CA" w:rsidRPr="00DC6F20" w:rsidRDefault="00DB48CA" w:rsidP="00DB48CA">
      <w:pPr>
        <w:spacing w:after="0"/>
        <w:jc w:val="both"/>
        <w:rPr>
          <w:rFonts w:ascii="Times New Roman" w:hAnsi="Times New Roman" w:cs="Times New Roman"/>
          <w:sz w:val="24"/>
          <w:szCs w:val="24"/>
        </w:rPr>
      </w:pPr>
      <w:r w:rsidRPr="00DC6F20">
        <w:rPr>
          <w:rFonts w:ascii="Times New Roman" w:hAnsi="Times New Roman" w:cs="Times New Roman"/>
          <w:sz w:val="24"/>
          <w:szCs w:val="24"/>
        </w:rPr>
        <w:t>(c) якщо рахунок не виставляється чи виставляється в пізніший термін, то протягом певного строку від дати факту виникнення податкового зобов'язання.</w:t>
      </w:r>
    </w:p>
    <w:p w:rsidR="00DD52ED" w:rsidRPr="00DC6F20" w:rsidRDefault="00DD52ED" w:rsidP="003953B5">
      <w:pPr>
        <w:spacing w:after="0"/>
        <w:jc w:val="both"/>
        <w:rPr>
          <w:rFonts w:ascii="Times New Roman" w:hAnsi="Times New Roman" w:cs="Times New Roman"/>
          <w:sz w:val="18"/>
          <w:szCs w:val="24"/>
        </w:rPr>
      </w:pPr>
    </w:p>
    <w:p w:rsidR="003953B5" w:rsidRPr="00DC6F20" w:rsidRDefault="003953B5" w:rsidP="003953B5">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РОЗДІЛ XII. СПЕЦІАЛЬНІ СХЕМИ </w:t>
      </w:r>
    </w:p>
    <w:p w:rsidR="003953B5" w:rsidRPr="00DC6F20" w:rsidRDefault="003953B5" w:rsidP="003953B5">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ГЛАВА 1. Спеціальна схема для малих підприємств </w:t>
      </w:r>
    </w:p>
    <w:p w:rsidR="003953B5" w:rsidRPr="00DC6F20" w:rsidRDefault="003953B5" w:rsidP="003953B5">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Секція 1. Спрощені процедури нарахування та справляння </w:t>
      </w:r>
    </w:p>
    <w:p w:rsidR="003953B5" w:rsidRPr="00DC6F20" w:rsidRDefault="002E777E" w:rsidP="003953B5">
      <w:pPr>
        <w:spacing w:after="0"/>
        <w:jc w:val="both"/>
        <w:rPr>
          <w:rFonts w:ascii="Times New Roman" w:hAnsi="Times New Roman" w:cs="Times New Roman"/>
          <w:sz w:val="24"/>
          <w:szCs w:val="24"/>
        </w:rPr>
      </w:pPr>
      <w:r w:rsidRPr="00DC6F20">
        <w:rPr>
          <w:rFonts w:ascii="Times New Roman" w:hAnsi="Times New Roman" w:cs="Times New Roman"/>
          <w:b/>
          <w:sz w:val="24"/>
          <w:szCs w:val="24"/>
        </w:rPr>
        <w:t>(10)</w:t>
      </w:r>
      <w:r w:rsidRPr="00DC6F20">
        <w:rPr>
          <w:rFonts w:ascii="Times New Roman" w:hAnsi="Times New Roman" w:cs="Times New Roman"/>
          <w:sz w:val="24"/>
          <w:szCs w:val="24"/>
        </w:rPr>
        <w:t xml:space="preserve"> </w:t>
      </w:r>
      <w:r w:rsidR="003953B5" w:rsidRPr="00DC6F20">
        <w:rPr>
          <w:rFonts w:ascii="Times New Roman" w:hAnsi="Times New Roman" w:cs="Times New Roman"/>
          <w:sz w:val="24"/>
          <w:szCs w:val="24"/>
        </w:rPr>
        <w:t xml:space="preserve">Стаття 281 </w:t>
      </w:r>
      <w:bookmarkStart w:id="0" w:name="_GoBack"/>
      <w:bookmarkEnd w:id="0"/>
    </w:p>
    <w:p w:rsidR="003953B5" w:rsidRPr="00DC6F20" w:rsidRDefault="003953B5" w:rsidP="003953B5">
      <w:pPr>
        <w:spacing w:after="0"/>
        <w:jc w:val="both"/>
        <w:rPr>
          <w:rFonts w:ascii="Times New Roman" w:hAnsi="Times New Roman" w:cs="Times New Roman"/>
          <w:sz w:val="24"/>
          <w:szCs w:val="24"/>
        </w:rPr>
      </w:pPr>
      <w:r w:rsidRPr="00DC6F20">
        <w:rPr>
          <w:rFonts w:ascii="Times New Roman" w:hAnsi="Times New Roman" w:cs="Times New Roman"/>
          <w:sz w:val="24"/>
          <w:szCs w:val="24"/>
        </w:rPr>
        <w:t>Держави-члени, котрі можуть зіткнутися зі складнощами при застосуванні звичайного режиму ПДВ до малих підприємств з огляду на діяльність чи структуру таких підприємств, можуть застосовувати спрощені процедури на кшталт схем з фіксованою ставкою для нарахування та справляння ПДВ на встановлених ними умовах та у встановлених ними межах після консультацій із Комітетом з ПДВ, якщо такі процедури не призводять до зменшення ПДВ.</w:t>
      </w:r>
    </w:p>
    <w:p w:rsidR="003953B5" w:rsidRPr="00DC6F20" w:rsidRDefault="003953B5" w:rsidP="003953B5">
      <w:pPr>
        <w:spacing w:after="0"/>
        <w:jc w:val="both"/>
        <w:rPr>
          <w:rFonts w:ascii="Times New Roman" w:hAnsi="Times New Roman" w:cs="Times New Roman"/>
          <w:sz w:val="18"/>
          <w:szCs w:val="24"/>
        </w:rPr>
      </w:pPr>
    </w:p>
    <w:p w:rsidR="004C19F4" w:rsidRPr="00DC6F20" w:rsidRDefault="004C19F4" w:rsidP="004C19F4">
      <w:pPr>
        <w:spacing w:after="0"/>
        <w:jc w:val="both"/>
        <w:rPr>
          <w:rFonts w:ascii="Times New Roman" w:hAnsi="Times New Roman" w:cs="Times New Roman"/>
          <w:b/>
          <w:sz w:val="24"/>
          <w:szCs w:val="24"/>
        </w:rPr>
      </w:pPr>
      <w:r w:rsidRPr="00DC6F20">
        <w:rPr>
          <w:rFonts w:ascii="Times New Roman" w:hAnsi="Times New Roman" w:cs="Times New Roman"/>
          <w:b/>
          <w:sz w:val="24"/>
          <w:szCs w:val="24"/>
        </w:rPr>
        <w:t>Декрет Кабінету Міністрів України «Про податок на добавлену вартість» від 26.12.1992 року № 14-92</w:t>
      </w:r>
    </w:p>
    <w:p w:rsidR="004C19F4" w:rsidRPr="00DC6F20" w:rsidRDefault="004C19F4" w:rsidP="004C19F4">
      <w:pPr>
        <w:spacing w:after="0"/>
        <w:jc w:val="both"/>
        <w:rPr>
          <w:rFonts w:ascii="Times New Roman" w:hAnsi="Times New Roman" w:cs="Times New Roman"/>
          <w:sz w:val="24"/>
          <w:szCs w:val="24"/>
        </w:rPr>
      </w:pPr>
      <w:r w:rsidRPr="00DC6F20">
        <w:rPr>
          <w:rFonts w:ascii="Times New Roman" w:hAnsi="Times New Roman" w:cs="Times New Roman"/>
          <w:b/>
          <w:sz w:val="24"/>
          <w:szCs w:val="24"/>
        </w:rPr>
        <w:t>(1</w:t>
      </w:r>
      <w:r w:rsidR="00932492">
        <w:rPr>
          <w:rFonts w:ascii="Times New Roman" w:hAnsi="Times New Roman" w:cs="Times New Roman"/>
          <w:b/>
          <w:sz w:val="24"/>
          <w:szCs w:val="24"/>
        </w:rPr>
        <w:t>0</w:t>
      </w:r>
      <w:r w:rsidRPr="00DC6F20">
        <w:rPr>
          <w:rFonts w:ascii="Times New Roman" w:hAnsi="Times New Roman" w:cs="Times New Roman"/>
          <w:b/>
          <w:sz w:val="24"/>
          <w:szCs w:val="24"/>
        </w:rPr>
        <w:t>)</w:t>
      </w:r>
      <w:r w:rsidRPr="00DC6F20">
        <w:rPr>
          <w:rFonts w:ascii="Times New Roman" w:hAnsi="Times New Roman" w:cs="Times New Roman"/>
          <w:sz w:val="24"/>
          <w:szCs w:val="24"/>
        </w:rPr>
        <w:t xml:space="preserve"> Стаття 7. Порядок обчислення і сплати податку </w:t>
      </w:r>
    </w:p>
    <w:p w:rsidR="00927642" w:rsidRPr="00DC6F20" w:rsidRDefault="004C19F4" w:rsidP="004C19F4">
      <w:pPr>
        <w:spacing w:after="0"/>
        <w:jc w:val="both"/>
        <w:rPr>
          <w:rFonts w:ascii="Times New Roman" w:hAnsi="Times New Roman" w:cs="Times New Roman"/>
          <w:sz w:val="24"/>
          <w:szCs w:val="24"/>
        </w:rPr>
      </w:pPr>
      <w:r w:rsidRPr="00DC6F20">
        <w:rPr>
          <w:rFonts w:ascii="Times New Roman" w:hAnsi="Times New Roman" w:cs="Times New Roman"/>
          <w:sz w:val="24"/>
          <w:szCs w:val="24"/>
        </w:rPr>
        <w:t xml:space="preserve">2. Сума податку на добавлену вартість, що підлягає сплаті  до бюджету, визначається як різниця між сумою податку, </w:t>
      </w:r>
      <w:r w:rsidRPr="00DC6F20">
        <w:rPr>
          <w:rFonts w:ascii="Times New Roman" w:hAnsi="Times New Roman" w:cs="Times New Roman"/>
          <w:sz w:val="24"/>
          <w:szCs w:val="24"/>
          <w:u w:val="single"/>
        </w:rPr>
        <w:t>одержаного від покупців</w:t>
      </w:r>
      <w:r w:rsidR="003A4A52" w:rsidRPr="00DC6F20">
        <w:rPr>
          <w:rFonts w:ascii="Times New Roman" w:hAnsi="Times New Roman" w:cs="Times New Roman"/>
          <w:sz w:val="24"/>
          <w:szCs w:val="24"/>
        </w:rPr>
        <w:t xml:space="preserve"> за реалізовані</w:t>
      </w:r>
      <w:r w:rsidRPr="00DC6F20">
        <w:rPr>
          <w:rFonts w:ascii="Times New Roman" w:hAnsi="Times New Roman" w:cs="Times New Roman"/>
          <w:sz w:val="24"/>
          <w:szCs w:val="24"/>
        </w:rPr>
        <w:t xml:space="preserve"> </w:t>
      </w:r>
      <w:r w:rsidR="003A4A52" w:rsidRPr="00DC6F20">
        <w:rPr>
          <w:rFonts w:ascii="Times New Roman" w:hAnsi="Times New Roman" w:cs="Times New Roman"/>
          <w:sz w:val="24"/>
          <w:szCs w:val="24"/>
        </w:rPr>
        <w:t>товари</w:t>
      </w:r>
      <w:r w:rsidRPr="00DC6F20">
        <w:rPr>
          <w:rFonts w:ascii="Times New Roman" w:hAnsi="Times New Roman" w:cs="Times New Roman"/>
          <w:sz w:val="24"/>
          <w:szCs w:val="24"/>
        </w:rPr>
        <w:t xml:space="preserve"> (роботи,  послуги), і сумами </w:t>
      </w:r>
      <w:r w:rsidR="003A4A52" w:rsidRPr="00DC6F20">
        <w:rPr>
          <w:rFonts w:ascii="Times New Roman" w:hAnsi="Times New Roman" w:cs="Times New Roman"/>
          <w:sz w:val="24"/>
          <w:szCs w:val="24"/>
        </w:rPr>
        <w:t>податку, що сплачені або</w:t>
      </w:r>
      <w:r w:rsidRPr="00DC6F20">
        <w:rPr>
          <w:rFonts w:ascii="Times New Roman" w:hAnsi="Times New Roman" w:cs="Times New Roman"/>
          <w:sz w:val="24"/>
          <w:szCs w:val="24"/>
        </w:rPr>
        <w:t xml:space="preserve"> підлягаю</w:t>
      </w:r>
      <w:r w:rsidR="003A4A52" w:rsidRPr="00DC6F20">
        <w:rPr>
          <w:rFonts w:ascii="Times New Roman" w:hAnsi="Times New Roman" w:cs="Times New Roman"/>
          <w:sz w:val="24"/>
          <w:szCs w:val="24"/>
        </w:rPr>
        <w:t>ть сплаті</w:t>
      </w:r>
      <w:r w:rsidRPr="00DC6F20">
        <w:rPr>
          <w:rFonts w:ascii="Times New Roman" w:hAnsi="Times New Roman" w:cs="Times New Roman"/>
          <w:sz w:val="24"/>
          <w:szCs w:val="24"/>
        </w:rPr>
        <w:t xml:space="preserve"> постачальникам за вик</w:t>
      </w:r>
      <w:r w:rsidR="003A4A52" w:rsidRPr="00DC6F20">
        <w:rPr>
          <w:rFonts w:ascii="Times New Roman" w:hAnsi="Times New Roman" w:cs="Times New Roman"/>
          <w:sz w:val="24"/>
          <w:szCs w:val="24"/>
        </w:rPr>
        <w:t>онані роботи, послуги, придбані</w:t>
      </w:r>
      <w:r w:rsidRPr="00DC6F20">
        <w:rPr>
          <w:rFonts w:ascii="Times New Roman" w:hAnsi="Times New Roman" w:cs="Times New Roman"/>
          <w:sz w:val="24"/>
          <w:szCs w:val="24"/>
        </w:rPr>
        <w:t xml:space="preserve"> матеріальні  ресурси,  паливо, вартість яких відноситься  на  в</w:t>
      </w:r>
      <w:r w:rsidR="003A4A52" w:rsidRPr="00DC6F20">
        <w:rPr>
          <w:rFonts w:ascii="Times New Roman" w:hAnsi="Times New Roman" w:cs="Times New Roman"/>
          <w:sz w:val="24"/>
          <w:szCs w:val="24"/>
        </w:rPr>
        <w:t>итрати  виробництва і</w:t>
      </w:r>
      <w:r w:rsidRPr="00DC6F20">
        <w:rPr>
          <w:rFonts w:ascii="Times New Roman" w:hAnsi="Times New Roman" w:cs="Times New Roman"/>
          <w:sz w:val="24"/>
          <w:szCs w:val="24"/>
        </w:rPr>
        <w:t xml:space="preserve"> обігу, та податку  за придбані і введені в  експлуатацію  основні  виробничі фонди і взяті на облік нематеріальні активи.</w:t>
      </w:r>
    </w:p>
    <w:p w:rsidR="00DD52ED" w:rsidRPr="00DC6F20" w:rsidRDefault="00DD52ED" w:rsidP="004C19F4">
      <w:pPr>
        <w:spacing w:after="0"/>
        <w:jc w:val="both"/>
        <w:rPr>
          <w:rFonts w:ascii="Times New Roman" w:hAnsi="Times New Roman" w:cs="Times New Roman"/>
          <w:sz w:val="20"/>
          <w:szCs w:val="20"/>
        </w:rPr>
      </w:pPr>
    </w:p>
    <w:sectPr w:rsidR="00DD52ED" w:rsidRPr="00DC6F20" w:rsidSect="00DC6F20">
      <w:pgSz w:w="16838" w:h="11906" w:orient="landscape"/>
      <w:pgMar w:top="851"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92D" w:rsidRDefault="00DB792D" w:rsidP="00913B64">
      <w:pPr>
        <w:spacing w:after="0" w:line="240" w:lineRule="auto"/>
      </w:pPr>
      <w:r>
        <w:separator/>
      </w:r>
    </w:p>
  </w:endnote>
  <w:endnote w:type="continuationSeparator" w:id="0">
    <w:p w:rsidR="00DB792D" w:rsidRDefault="00DB792D" w:rsidP="00913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92D" w:rsidRDefault="00DB792D" w:rsidP="00913B64">
      <w:pPr>
        <w:spacing w:after="0" w:line="240" w:lineRule="auto"/>
      </w:pPr>
      <w:r>
        <w:separator/>
      </w:r>
    </w:p>
  </w:footnote>
  <w:footnote w:type="continuationSeparator" w:id="0">
    <w:p w:rsidR="00DB792D" w:rsidRDefault="00DB792D" w:rsidP="00913B64">
      <w:pPr>
        <w:spacing w:after="0" w:line="240" w:lineRule="auto"/>
      </w:pPr>
      <w:r>
        <w:continuationSeparator/>
      </w:r>
    </w:p>
  </w:footnote>
  <w:footnote w:id="1">
    <w:p w:rsidR="0073557B" w:rsidRPr="0039554A" w:rsidRDefault="0073557B" w:rsidP="0073557B">
      <w:pPr>
        <w:pStyle w:val="a5"/>
        <w:rPr>
          <w:sz w:val="16"/>
        </w:rPr>
      </w:pPr>
      <w:r w:rsidRPr="0039554A">
        <w:rPr>
          <w:rStyle w:val="a7"/>
          <w:sz w:val="16"/>
        </w:rPr>
        <w:footnoteRef/>
      </w:r>
      <w:r w:rsidRPr="0039554A">
        <w:rPr>
          <w:sz w:val="16"/>
        </w:rPr>
        <w:t xml:space="preserve"> http://zakon5.rada.gov.ua/laws/show/14-92</w:t>
      </w:r>
    </w:p>
  </w:footnote>
  <w:footnote w:id="2">
    <w:p w:rsidR="00E84946" w:rsidRDefault="00E84946" w:rsidP="00E84946">
      <w:pPr>
        <w:pStyle w:val="a5"/>
        <w:rPr>
          <w:sz w:val="16"/>
        </w:rPr>
      </w:pPr>
      <w:r w:rsidRPr="009047B8">
        <w:rPr>
          <w:rStyle w:val="a7"/>
          <w:sz w:val="16"/>
        </w:rPr>
        <w:footnoteRef/>
      </w:r>
      <w:r w:rsidRPr="009047B8">
        <w:rPr>
          <w:sz w:val="16"/>
        </w:rPr>
        <w:t xml:space="preserve"> </w:t>
      </w:r>
      <w:r w:rsidRPr="00513677">
        <w:rPr>
          <w:sz w:val="16"/>
        </w:rPr>
        <w:t xml:space="preserve">Art. 21 </w:t>
      </w:r>
      <w:r>
        <w:rPr>
          <w:sz w:val="16"/>
        </w:rPr>
        <w:t xml:space="preserve"> USTAWA </w:t>
      </w:r>
      <w:r w:rsidRPr="00513677">
        <w:rPr>
          <w:sz w:val="16"/>
        </w:rPr>
        <w:t xml:space="preserve">o podatku od towarów i usług </w:t>
      </w:r>
    </w:p>
    <w:p w:rsidR="00E84946" w:rsidRPr="009047B8" w:rsidRDefault="00E84946" w:rsidP="00E84946">
      <w:pPr>
        <w:pStyle w:val="a5"/>
        <w:rPr>
          <w:sz w:val="16"/>
        </w:rPr>
      </w:pPr>
      <w:r w:rsidRPr="009047B8">
        <w:rPr>
          <w:sz w:val="16"/>
        </w:rPr>
        <w:t>http://isap.sejm.gov.pl/DetailsServlet?id=WDU20160000710</w:t>
      </w:r>
    </w:p>
  </w:footnote>
  <w:footnote w:id="3">
    <w:p w:rsidR="00A55EE4" w:rsidRPr="00A55EE4" w:rsidRDefault="00A55EE4">
      <w:pPr>
        <w:pStyle w:val="a5"/>
        <w:rPr>
          <w:sz w:val="16"/>
        </w:rPr>
      </w:pPr>
      <w:r w:rsidRPr="00A55EE4">
        <w:rPr>
          <w:rStyle w:val="a7"/>
          <w:sz w:val="16"/>
        </w:rPr>
        <w:footnoteRef/>
      </w:r>
      <w:r w:rsidRPr="00A55EE4">
        <w:rPr>
          <w:sz w:val="16"/>
        </w:rPr>
        <w:t xml:space="preserve"> https://www.gov.uk/vat-cash-accounting-scheme/overview</w:t>
      </w:r>
    </w:p>
  </w:footnote>
  <w:footnote w:id="4">
    <w:p w:rsidR="002F4BCF" w:rsidRDefault="002F4BCF">
      <w:pPr>
        <w:pStyle w:val="a5"/>
      </w:pPr>
      <w:r w:rsidRPr="002F4BCF">
        <w:rPr>
          <w:rStyle w:val="a7"/>
          <w:sz w:val="16"/>
        </w:rPr>
        <w:footnoteRef/>
      </w:r>
      <w:r w:rsidRPr="002F4BCF">
        <w:rPr>
          <w:sz w:val="16"/>
        </w:rPr>
        <w:t xml:space="preserve"> http://www.revenue.ie/en/tax/vat/guide/received-basis.html#section1</w:t>
      </w:r>
    </w:p>
  </w:footnote>
  <w:footnote w:id="5">
    <w:p w:rsidR="00156DB5" w:rsidRPr="00156DB5" w:rsidRDefault="00156DB5">
      <w:pPr>
        <w:pStyle w:val="a5"/>
        <w:rPr>
          <w:sz w:val="16"/>
        </w:rPr>
      </w:pPr>
      <w:r w:rsidRPr="00156DB5">
        <w:rPr>
          <w:rStyle w:val="a7"/>
          <w:sz w:val="16"/>
        </w:rPr>
        <w:footnoteRef/>
      </w:r>
      <w:r w:rsidRPr="00156DB5">
        <w:rPr>
          <w:sz w:val="16"/>
        </w:rPr>
        <w:t xml:space="preserve"> http://www.momsens.se/bokslutsmetoden</w:t>
      </w:r>
    </w:p>
  </w:footnote>
  <w:footnote w:id="6">
    <w:p w:rsidR="00DC6F20" w:rsidRPr="004A36DA" w:rsidRDefault="00DC6F20" w:rsidP="00DC6F20">
      <w:pPr>
        <w:pStyle w:val="a5"/>
        <w:jc w:val="both"/>
        <w:rPr>
          <w:sz w:val="16"/>
          <w:szCs w:val="14"/>
        </w:rPr>
      </w:pPr>
      <w:r w:rsidRPr="004A36DA">
        <w:rPr>
          <w:rStyle w:val="a7"/>
          <w:sz w:val="16"/>
          <w:szCs w:val="14"/>
        </w:rPr>
        <w:footnoteRef/>
      </w:r>
      <w:r w:rsidRPr="004A36DA">
        <w:rPr>
          <w:sz w:val="16"/>
          <w:szCs w:val="14"/>
        </w:rPr>
        <w:t xml:space="preserve"> </w:t>
      </w:r>
      <w:r>
        <w:rPr>
          <w:sz w:val="16"/>
          <w:szCs w:val="14"/>
        </w:rPr>
        <w:t>інформація наведена по відношенню до</w:t>
      </w:r>
      <w:r w:rsidRPr="004A36DA">
        <w:rPr>
          <w:sz w:val="16"/>
          <w:szCs w:val="14"/>
        </w:rPr>
        <w:t xml:space="preserve"> федерального ПДВ, правила застосування якого єдині на території всієї Бр</w:t>
      </w:r>
      <w:r>
        <w:rPr>
          <w:sz w:val="16"/>
          <w:szCs w:val="14"/>
        </w:rPr>
        <w:t>азилії</w:t>
      </w:r>
    </w:p>
  </w:footnote>
  <w:footnote w:id="7">
    <w:p w:rsidR="00DC6F20" w:rsidRDefault="00DC6F20" w:rsidP="00DC6F20">
      <w:pPr>
        <w:pStyle w:val="a5"/>
      </w:pPr>
      <w:r w:rsidRPr="004A36DA">
        <w:rPr>
          <w:rStyle w:val="a7"/>
          <w:sz w:val="16"/>
        </w:rPr>
        <w:footnoteRef/>
      </w:r>
      <w:r w:rsidRPr="004A36DA">
        <w:rPr>
          <w:sz w:val="16"/>
        </w:rPr>
        <w:t xml:space="preserve"> визначення платника податків у багатьох країнах містить відсилання на обов'язок або можливість зареєструватися для цілей ПДВ</w:t>
      </w:r>
    </w:p>
  </w:footnote>
  <w:footnote w:id="8">
    <w:p w:rsidR="00DC6F20" w:rsidRPr="00707358" w:rsidRDefault="00DC6F20" w:rsidP="00DC6F20">
      <w:pPr>
        <w:pStyle w:val="a5"/>
        <w:rPr>
          <w:sz w:val="16"/>
        </w:rPr>
      </w:pPr>
      <w:r w:rsidRPr="00707358">
        <w:rPr>
          <w:rStyle w:val="a7"/>
          <w:sz w:val="16"/>
        </w:rPr>
        <w:footnoteRef/>
      </w:r>
      <w:r w:rsidRPr="00707358">
        <w:rPr>
          <w:sz w:val="16"/>
        </w:rPr>
        <w:t xml:space="preserve"> Стаття 66 Директиви 2006/112/ЄС про спільну систему податку на додану вартість (див. 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53D27"/>
    <w:multiLevelType w:val="hybridMultilevel"/>
    <w:tmpl w:val="5A82A44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5ABF1900"/>
    <w:multiLevelType w:val="hybridMultilevel"/>
    <w:tmpl w:val="E536E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35E8B"/>
    <w:rsid w:val="000205FD"/>
    <w:rsid w:val="00025245"/>
    <w:rsid w:val="00033C9C"/>
    <w:rsid w:val="0004191D"/>
    <w:rsid w:val="000B577F"/>
    <w:rsid w:val="000B697E"/>
    <w:rsid w:val="000F38B5"/>
    <w:rsid w:val="0012201F"/>
    <w:rsid w:val="00130688"/>
    <w:rsid w:val="00132BD2"/>
    <w:rsid w:val="00156906"/>
    <w:rsid w:val="00156DB5"/>
    <w:rsid w:val="001654B8"/>
    <w:rsid w:val="001725B8"/>
    <w:rsid w:val="00187B33"/>
    <w:rsid w:val="001A5465"/>
    <w:rsid w:val="001B438E"/>
    <w:rsid w:val="001B522E"/>
    <w:rsid w:val="001F07A3"/>
    <w:rsid w:val="001F2549"/>
    <w:rsid w:val="0021026A"/>
    <w:rsid w:val="002247BD"/>
    <w:rsid w:val="00255400"/>
    <w:rsid w:val="002837FE"/>
    <w:rsid w:val="002B75CD"/>
    <w:rsid w:val="002E777E"/>
    <w:rsid w:val="002F4BCF"/>
    <w:rsid w:val="00303DDE"/>
    <w:rsid w:val="00377689"/>
    <w:rsid w:val="003953B5"/>
    <w:rsid w:val="0039554A"/>
    <w:rsid w:val="003A4A52"/>
    <w:rsid w:val="003A4B0B"/>
    <w:rsid w:val="003C0CBD"/>
    <w:rsid w:val="003D341D"/>
    <w:rsid w:val="004A36DA"/>
    <w:rsid w:val="004C19F4"/>
    <w:rsid w:val="00513677"/>
    <w:rsid w:val="00513A14"/>
    <w:rsid w:val="00533C51"/>
    <w:rsid w:val="0056626D"/>
    <w:rsid w:val="005A4491"/>
    <w:rsid w:val="005C53F2"/>
    <w:rsid w:val="005E016C"/>
    <w:rsid w:val="0061783B"/>
    <w:rsid w:val="00617ED7"/>
    <w:rsid w:val="0063091A"/>
    <w:rsid w:val="0063148B"/>
    <w:rsid w:val="0063676B"/>
    <w:rsid w:val="00682638"/>
    <w:rsid w:val="00693DBF"/>
    <w:rsid w:val="00696553"/>
    <w:rsid w:val="006A38CC"/>
    <w:rsid w:val="006E058D"/>
    <w:rsid w:val="006F54BC"/>
    <w:rsid w:val="00707358"/>
    <w:rsid w:val="0073557B"/>
    <w:rsid w:val="007605A5"/>
    <w:rsid w:val="00777FEA"/>
    <w:rsid w:val="0078679E"/>
    <w:rsid w:val="007A251E"/>
    <w:rsid w:val="007B5C83"/>
    <w:rsid w:val="0080551B"/>
    <w:rsid w:val="008250EB"/>
    <w:rsid w:val="00827DBB"/>
    <w:rsid w:val="008358E3"/>
    <w:rsid w:val="00871E65"/>
    <w:rsid w:val="00874DFA"/>
    <w:rsid w:val="00887B76"/>
    <w:rsid w:val="00894E61"/>
    <w:rsid w:val="008A2F1A"/>
    <w:rsid w:val="009047B8"/>
    <w:rsid w:val="00913B64"/>
    <w:rsid w:val="00927642"/>
    <w:rsid w:val="00932492"/>
    <w:rsid w:val="00945511"/>
    <w:rsid w:val="00947333"/>
    <w:rsid w:val="00952ECC"/>
    <w:rsid w:val="00974B0E"/>
    <w:rsid w:val="00991652"/>
    <w:rsid w:val="009F0F55"/>
    <w:rsid w:val="00A02180"/>
    <w:rsid w:val="00A111AF"/>
    <w:rsid w:val="00A35E8B"/>
    <w:rsid w:val="00A55EE4"/>
    <w:rsid w:val="00AE7D27"/>
    <w:rsid w:val="00AF3DA7"/>
    <w:rsid w:val="00B3342A"/>
    <w:rsid w:val="00B35567"/>
    <w:rsid w:val="00B36A92"/>
    <w:rsid w:val="00B50D97"/>
    <w:rsid w:val="00BC3623"/>
    <w:rsid w:val="00BD63ED"/>
    <w:rsid w:val="00C4315D"/>
    <w:rsid w:val="00CC534C"/>
    <w:rsid w:val="00CC7E10"/>
    <w:rsid w:val="00D31A59"/>
    <w:rsid w:val="00D65D22"/>
    <w:rsid w:val="00D856B5"/>
    <w:rsid w:val="00DB300B"/>
    <w:rsid w:val="00DB48CA"/>
    <w:rsid w:val="00DB792D"/>
    <w:rsid w:val="00DC6F20"/>
    <w:rsid w:val="00DD52ED"/>
    <w:rsid w:val="00DD7E7D"/>
    <w:rsid w:val="00E56891"/>
    <w:rsid w:val="00E64822"/>
    <w:rsid w:val="00E84946"/>
    <w:rsid w:val="00E93F07"/>
    <w:rsid w:val="00EC4CD4"/>
    <w:rsid w:val="00F066EE"/>
    <w:rsid w:val="00F769B8"/>
    <w:rsid w:val="00FA5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53"/>
  </w:style>
  <w:style w:type="paragraph" w:styleId="1">
    <w:name w:val="heading 1"/>
    <w:basedOn w:val="a"/>
    <w:next w:val="a"/>
    <w:link w:val="10"/>
    <w:qFormat/>
    <w:rsid w:val="00932492"/>
    <w:pPr>
      <w:keepNext/>
      <w:spacing w:before="240" w:after="60" w:line="240" w:lineRule="auto"/>
      <w:jc w:val="both"/>
      <w:outlineLvl w:val="0"/>
    </w:pPr>
    <w:rPr>
      <w:rFonts w:ascii="Arial" w:eastAsia="Times New Roman" w:hAnsi="Arial" w:cs="Arial"/>
      <w:b/>
      <w:bCs/>
      <w:kern w:val="32"/>
      <w:sz w:val="28"/>
      <w:szCs w:val="32"/>
      <w:lang w:val="ru-RU"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E8B"/>
    <w:pPr>
      <w:ind w:left="720"/>
      <w:contextualSpacing/>
    </w:pPr>
  </w:style>
  <w:style w:type="character" w:styleId="a4">
    <w:name w:val="Hyperlink"/>
    <w:basedOn w:val="a0"/>
    <w:uiPriority w:val="99"/>
    <w:unhideWhenUsed/>
    <w:rsid w:val="00A35E8B"/>
    <w:rPr>
      <w:color w:val="0000FF" w:themeColor="hyperlink"/>
      <w:u w:val="single"/>
    </w:rPr>
  </w:style>
  <w:style w:type="paragraph" w:styleId="a5">
    <w:name w:val="footnote text"/>
    <w:basedOn w:val="a"/>
    <w:link w:val="a6"/>
    <w:uiPriority w:val="99"/>
    <w:semiHidden/>
    <w:unhideWhenUsed/>
    <w:rsid w:val="00913B64"/>
    <w:pPr>
      <w:spacing w:after="0" w:line="240" w:lineRule="auto"/>
    </w:pPr>
    <w:rPr>
      <w:sz w:val="20"/>
      <w:szCs w:val="20"/>
    </w:rPr>
  </w:style>
  <w:style w:type="character" w:customStyle="1" w:styleId="a6">
    <w:name w:val="Текст сноски Знак"/>
    <w:basedOn w:val="a0"/>
    <w:link w:val="a5"/>
    <w:uiPriority w:val="99"/>
    <w:semiHidden/>
    <w:rsid w:val="00913B64"/>
    <w:rPr>
      <w:sz w:val="20"/>
      <w:szCs w:val="20"/>
    </w:rPr>
  </w:style>
  <w:style w:type="character" w:styleId="a7">
    <w:name w:val="footnote reference"/>
    <w:basedOn w:val="a0"/>
    <w:uiPriority w:val="99"/>
    <w:semiHidden/>
    <w:unhideWhenUsed/>
    <w:rsid w:val="00913B64"/>
    <w:rPr>
      <w:vertAlign w:val="superscript"/>
    </w:rPr>
  </w:style>
  <w:style w:type="table" w:styleId="a8">
    <w:name w:val="Table Grid"/>
    <w:basedOn w:val="a1"/>
    <w:uiPriority w:val="59"/>
    <w:rsid w:val="00E93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32492"/>
    <w:rPr>
      <w:rFonts w:ascii="Arial" w:eastAsia="Times New Roman" w:hAnsi="Arial" w:cs="Arial"/>
      <w:b/>
      <w:bCs/>
      <w:kern w:val="32"/>
      <w:sz w:val="28"/>
      <w:szCs w:val="32"/>
      <w:lang w:val="ru-RU" w:bidi="hi-IN"/>
    </w:rPr>
  </w:style>
  <w:style w:type="paragraph" w:styleId="a9">
    <w:name w:val="Normal (Web)"/>
    <w:basedOn w:val="a"/>
    <w:uiPriority w:val="99"/>
    <w:semiHidden/>
    <w:unhideWhenUsed/>
    <w:rsid w:val="0093249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E8B"/>
    <w:pPr>
      <w:ind w:left="720"/>
      <w:contextualSpacing/>
    </w:pPr>
  </w:style>
  <w:style w:type="character" w:styleId="a4">
    <w:name w:val="Hyperlink"/>
    <w:basedOn w:val="a0"/>
    <w:uiPriority w:val="99"/>
    <w:unhideWhenUsed/>
    <w:rsid w:val="00A35E8B"/>
    <w:rPr>
      <w:color w:val="0000FF" w:themeColor="hyperlink"/>
      <w:u w:val="single"/>
    </w:rPr>
  </w:style>
  <w:style w:type="paragraph" w:styleId="a5">
    <w:name w:val="footnote text"/>
    <w:basedOn w:val="a"/>
    <w:link w:val="a6"/>
    <w:uiPriority w:val="99"/>
    <w:semiHidden/>
    <w:unhideWhenUsed/>
    <w:rsid w:val="00913B64"/>
    <w:pPr>
      <w:spacing w:after="0" w:line="240" w:lineRule="auto"/>
    </w:pPr>
    <w:rPr>
      <w:sz w:val="20"/>
      <w:szCs w:val="20"/>
    </w:rPr>
  </w:style>
  <w:style w:type="character" w:customStyle="1" w:styleId="a6">
    <w:name w:val="Текст сноски Знак"/>
    <w:basedOn w:val="a0"/>
    <w:link w:val="a5"/>
    <w:uiPriority w:val="99"/>
    <w:semiHidden/>
    <w:rsid w:val="00913B64"/>
    <w:rPr>
      <w:sz w:val="20"/>
      <w:szCs w:val="20"/>
    </w:rPr>
  </w:style>
  <w:style w:type="character" w:styleId="a7">
    <w:name w:val="footnote reference"/>
    <w:basedOn w:val="a0"/>
    <w:uiPriority w:val="99"/>
    <w:semiHidden/>
    <w:unhideWhenUsed/>
    <w:rsid w:val="00913B64"/>
    <w:rPr>
      <w:vertAlign w:val="superscript"/>
    </w:rPr>
  </w:style>
  <w:style w:type="table" w:styleId="a8">
    <w:name w:val="Table Grid"/>
    <w:basedOn w:val="a1"/>
    <w:uiPriority w:val="59"/>
    <w:rsid w:val="00E9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43590608">
      <w:bodyDiv w:val="1"/>
      <w:marLeft w:val="0"/>
      <w:marRight w:val="0"/>
      <w:marTop w:val="0"/>
      <w:marBottom w:val="0"/>
      <w:divBdr>
        <w:top w:val="none" w:sz="0" w:space="0" w:color="auto"/>
        <w:left w:val="none" w:sz="0" w:space="0" w:color="auto"/>
        <w:bottom w:val="none" w:sz="0" w:space="0" w:color="auto"/>
        <w:right w:val="none" w:sz="0" w:space="0" w:color="auto"/>
      </w:divBdr>
    </w:div>
    <w:div w:id="1135295592">
      <w:bodyDiv w:val="1"/>
      <w:marLeft w:val="0"/>
      <w:marRight w:val="0"/>
      <w:marTop w:val="0"/>
      <w:marBottom w:val="0"/>
      <w:divBdr>
        <w:top w:val="none" w:sz="0" w:space="0" w:color="auto"/>
        <w:left w:val="none" w:sz="0" w:space="0" w:color="auto"/>
        <w:bottom w:val="none" w:sz="0" w:space="0" w:color="auto"/>
        <w:right w:val="none" w:sz="0" w:space="0" w:color="auto"/>
      </w:divBdr>
    </w:div>
    <w:div w:id="13307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sfs.gov.ua/media-ark/news-ark/23709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v.sfs.gov.ua/baner/podatkovi-konsultatsii/konsultatsii-dlya-yuridichnih-osib/print-68483.html" TargetMode="External"/><Relationship Id="rId5" Type="http://schemas.openxmlformats.org/officeDocument/2006/relationships/webSettings" Target="webSettings.xml"/><Relationship Id="rId10" Type="http://schemas.openxmlformats.org/officeDocument/2006/relationships/hyperlink" Target="http://sfs.gov.ua/baneryi/podatkovi-zmini-2015/elektronne-administruvannya-pdv/66080.html" TargetMode="External"/><Relationship Id="rId4" Type="http://schemas.openxmlformats.org/officeDocument/2006/relationships/settings" Target="settings.xml"/><Relationship Id="rId9" Type="http://schemas.openxmlformats.org/officeDocument/2006/relationships/hyperlink" Target="http://tr.sfs.gov.ua/media-ark/news-ark/print-116973.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F38D-A8D9-417B-88EA-E8F6B2AA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2835</Words>
  <Characters>16162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Gesha</cp:lastModifiedBy>
  <cp:revision>4</cp:revision>
  <dcterms:created xsi:type="dcterms:W3CDTF">2017-03-22T09:37:00Z</dcterms:created>
  <dcterms:modified xsi:type="dcterms:W3CDTF">2017-04-25T06:45:00Z</dcterms:modified>
</cp:coreProperties>
</file>